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360" w:lineRule="auto"/>
        <w:keepNext/>
      </w:pPr>
      <w:r>
        <w:rPr>
          <w:lang w:val="es-CL"/>
        </w:rPr>
        <w:t xml:space="preserve">1. Portada e Introducción Interdisciplinaria</w:t>
      </w:r>
    </w:p>
    <w:p>
      <w:pPr>
        <w:pStyle w:val="BodyText"/>
        <w:spacing w:line="360" w:lineRule="auto"/>
      </w:pPr>
      <w:r>
        <w:rPr>
          <w:lang w:val="es-CL"/>
          <w:b/>
        </w:rPr>
        <w:t xml:space="preserve">Una sola gravedad, tres escalas:</w:t>
      </w:r>
      <w:r>
        <w:rPr>
          <w:lang w:val="es-CL"/>
        </w:rPr>
        <w:t xml:space="preserve"> una herramienta para explorar órbitas, galaxias y expansión del Universo</w:t>
      </w:r>
    </w:p>
    <w:p>
      <w:pPr>
        <w:pStyle w:val="BodyText"/>
        <w:spacing w:line="360" w:lineRule="auto"/>
      </w:pPr>
      <w:r>
        <w:rPr>
          <w:lang w:val="es-CL"/>
        </w:rPr>
        <w:t xml:space="preserve">AST101 — Un Paseo por el Universo · Tarea 2, proyecto interdisciplinario · Pontificia Universidad Católica de Chile · 2 de noviembre de 2026</w:t>
      </w:r>
    </w:p>
    <w:p>
      <w:pPr>
        <w:pStyle w:val="BodyText"/>
        <w:spacing w:line="360" w:lineRule="auto"/>
      </w:pPr>
      <w:r>
        <w:rPr>
          <w:lang w:val="es-CL"/>
          <w:b/>
        </w:rPr>
        <w:t xml:space="preserve">Integrantes:</w:t>
      </w:r>
      <w:r>
        <w:rPr>
          <w:lang w:val="es-CL"/>
        </w:rPr>
        <w:t xml:space="preserve"> José Santiago Garrillo Fernández (jose.garrillo@estudiante.uc.cl) y Luis Erazo (luis.erazo@estudiante.uc.cl), ambos de la Licenciatura en Ingeniería en Ciencias de la Computación.</w:t>
      </w:r>
    </w:p>
    <w:p>
      <w:pPr>
        <w:pStyle w:val="BodyText"/>
        <w:spacing w:line="360" w:lineRule="auto"/>
      </w:pPr>
      <w:r>
        <w:rPr>
          <w:lang w:val="es-CL"/>
          <w:b/>
        </w:rPr>
        <w:t xml:space="preserve">Simulador:</w:t>
      </w:r>
      <w:r>
        <w:rPr>
          <w:lang w:val="es-CL"/>
        </w:rPr>
        <w:t xml:space="preserve"> </w:t>
      </w:r>
      <w:hyperlink r:id="rId2">
        <w:r>
          <w:rPr>
            <w:rStyle w:val="Hyperlink"/>
          </w:rPr>
          <w:t>https://ssj400.github.io/one-gravity/</w:t>
        </w:r>
      </w:hyperlink>
      <w:r>
        <w:rPr>
          <w:lang w:val="es-CL"/>
        </w:rPr>
        <w:t xml:space="preserve"> · </w:t>
      </w:r>
      <w:r>
        <w:rPr>
          <w:lang w:val="es-CL"/>
          <w:b/>
        </w:rPr>
        <w:t xml:space="preserve">Código:</w:t>
      </w:r>
      <w:r>
        <w:rPr>
          <w:lang w:val="es-CL"/>
        </w:rPr>
        <w:t xml:space="preserve"> </w:t>
      </w:r>
      <w:hyperlink r:id="rId3">
        <w:r>
          <w:rPr>
            <w:rStyle w:val="Hyperlink"/>
          </w:rPr>
          <w:t>https://github.com/Ssj400/one-gravity</w:t>
        </w:r>
      </w:hyperlink>
    </w:p>
    <w:p>
      <w:pPr>
        <w:pStyle w:val="Heading2"/>
        <w:spacing w:line="360" w:lineRule="auto"/>
        <w:keepNext/>
      </w:pPr>
      <w:r>
        <w:rPr>
          <w:lang w:val="es-CL"/>
        </w:rPr>
        <w:t xml:space="preserve">1.1 Qué queremos explorar</w:t>
      </w:r>
    </w:p>
    <w:p>
      <w:pPr>
        <w:pStyle w:val="BodyText"/>
        <w:spacing w:line="360" w:lineRule="auto"/>
      </w:pPr>
      <w:r>
        <w:rPr>
          <w:lang w:val="es-CL"/>
        </w:rPr>
        <w:t xml:space="preserve">En clases vimos que conocer el Universo requiere comparar modelos con observaciones, y no solo producir una explicación convincente (</w:t>
      </w:r>
      <w:r>
        <w:rPr>
          <w:lang w:val="es-CL"/>
          <w:i/>
        </w:rPr>
        <w:t xml:space="preserve">Modelos de Universo</w:t>
      </w:r>
      <w:r>
        <w:rPr>
          <w:lang w:val="es-CL"/>
        </w:rPr>
        <w:t xml:space="preserve">, s. f.). A partir de esa idea, nos propusimos construir una herramienta que permita cambiar parámetros y observar sus consecuencias. La pregunta que conecta todo el proyecto es: ¿cómo distinguimos un resultado físico de un error del programa?</w:t>
      </w:r>
    </w:p>
    <w:p>
      <w:pPr>
        <w:pStyle w:val="BodyText"/>
        <w:spacing w:line="360" w:lineRule="auto"/>
      </w:pPr>
      <w:r>
        <w:rPr>
          <w:lang w:val="es-CL"/>
        </w:rPr>
        <w:t xml:space="preserve">Exploramos tres escalas. Primero, simulamos un planeta alrededor del Sol y comprobamos resultados conocidos de Kepler. Después, comparamos la rotación de una galaxia con lo que predice su materia visible. Finalmente, representamos distintos escenarios de expansión del Universo y los contrastamos con mediciones de supernovas.</w:t>
      </w:r>
    </w:p>
    <w:p>
      <w:pPr>
        <w:pStyle w:val="BodyText"/>
        <w:spacing w:line="360" w:lineRule="auto"/>
      </w:pPr>
      <w:r>
        <w:rPr>
          <w:lang w:val="es-CL"/>
        </w:rPr>
        <w:t xml:space="preserve">Como estudiantes de computación, nos interesó convertir estos contenidos en algo que pudiéramos programar y probar. El vínculo es la gravedad, pero no resolvemos los tres problemas de manera idéntica: avanzamos las órbitas y la expansión en el tiempo, mientras que para la galaxia calculamos velocidades de rotación. En cosmología usamos además fórmulas basadas en relatividad general; no intentamos desarrollar esa teoría.</w:t>
      </w:r>
    </w:p>
    <w:p>
      <w:pPr>
        <w:pStyle w:val="Heading2"/>
        <w:spacing w:line="360" w:lineRule="auto"/>
        <w:keepNext/>
      </w:pPr>
      <w:r>
        <w:rPr>
          <w:lang w:val="es-CL"/>
        </w:rPr>
        <w:t xml:space="preserve">1.2 Cómo se unen astronomía y computación</w:t>
      </w:r>
    </w:p>
    <w:p>
      <w:pPr>
        <w:pStyle w:val="BodyText"/>
        <w:spacing w:line="360" w:lineRule="auto"/>
      </w:pPr>
      <w:r>
        <w:rPr>
          <w:lang w:val="es-CL"/>
        </w:rPr>
        <w:t xml:space="preserve">La astronomía nos dio las preguntas y los datos con que comparar. Desde computación aportamos una forma de organizar los cálculos, detectar errores y mostrar los resultados. Relacionamos el trabajo con herramientas de nuestra formación:</w:t>
      </w:r>
    </w:p>
    <w:p>
      <w:pPr>
        <w:pStyle w:val="BodyText"/>
        <w:spacing w:line="360" w:lineRule="auto"/>
      </w:pPr>
      <w:r>
        <w:rPr>
          <w:lang w:val="es-CL"/>
        </w:rPr>
        <w:t xml:space="preserve">• </w:t>
      </w:r>
      <w:r>
        <w:rPr>
          <w:lang w:val="es-CL"/>
          <w:b/>
        </w:rPr>
        <w:t xml:space="preserve">Cálculo I:</w:t>
      </w:r>
      <w:r>
        <w:rPr>
          <w:lang w:val="es-CL"/>
        </w:rPr>
        <w:t xml:space="preserve"> aproximamos movimientos mediante pasos pequeños y calculamos distancias sumando áreas con la regla del trapecio.</w:t>
      </w:r>
    </w:p>
    <w:p>
      <w:pPr>
        <w:pStyle w:val="BodyText"/>
        <w:spacing w:line="360" w:lineRule="auto"/>
      </w:pPr>
      <w:r>
        <w:rPr>
          <w:lang w:val="es-CL"/>
        </w:rPr>
        <w:t xml:space="preserve">• </w:t>
      </w:r>
      <w:r>
        <w:rPr>
          <w:lang w:val="es-CL"/>
          <w:b/>
        </w:rPr>
        <w:t xml:space="preserve">Matemáticas Discretas:</w:t>
      </w:r>
      <w:r>
        <w:rPr>
          <w:lang w:val="es-CL"/>
        </w:rPr>
        <w:t xml:space="preserve"> organizamos las condiciones lógicas de las pruebas y distinguimos comprobar casos de demostrar una propiedad general.</w:t>
      </w:r>
    </w:p>
    <w:p>
      <w:pPr>
        <w:pStyle w:val="BodyText"/>
        <w:spacing w:line="360" w:lineRule="auto"/>
      </w:pPr>
      <w:r>
        <w:rPr>
          <w:lang w:val="es-CL"/>
        </w:rPr>
        <w:t xml:space="preserve">• </w:t>
      </w:r>
      <w:r>
        <w:rPr>
          <w:lang w:val="es-CL"/>
          <w:b/>
        </w:rPr>
        <w:t xml:space="preserve">Arquitectura de Computadores:</w:t>
      </w:r>
      <w:r>
        <w:rPr>
          <w:lang w:val="es-CL"/>
        </w:rPr>
        <w:t xml:space="preserve"> reconocemos que el computador redondea números y que una simulación siempre tiene precisión limitada.</w:t>
      </w:r>
    </w:p>
    <w:p>
      <w:pPr>
        <w:pStyle w:val="BodyText"/>
        <w:spacing w:line="360" w:lineRule="auto"/>
      </w:pPr>
      <w:r>
        <w:rPr>
          <w:lang w:val="es-CL"/>
        </w:rPr>
        <w:t xml:space="preserve">• </w:t>
      </w:r>
      <w:r>
        <w:rPr>
          <w:lang w:val="es-CL"/>
          <w:b/>
        </w:rPr>
        <w:t xml:space="preserve">Programación Avanzada:</w:t>
      </w:r>
      <w:r>
        <w:rPr>
          <w:lang w:val="es-CL"/>
        </w:rPr>
        <w:t xml:space="preserve"> separamos el código en módulos y usamos pruebas automáticas para detectar errores.</w:t>
      </w:r>
    </w:p>
    <w:p>
      <w:pPr>
        <w:pStyle w:val="BodyText"/>
        <w:spacing w:line="360" w:lineRule="auto"/>
      </w:pPr>
      <w:r>
        <w:rPr>
          <w:lang w:val="es-CL"/>
        </w:rPr>
        <w:t xml:space="preserve">• </w:t>
      </w:r>
      <w:r>
        <w:rPr>
          <w:lang w:val="es-CL"/>
          <w:b/>
        </w:rPr>
        <w:t xml:space="preserve">Experiencias del equipo:</w:t>
      </w:r>
      <w:r>
        <w:rPr>
          <w:lang w:val="es-CL"/>
        </w:rPr>
        <w:t xml:space="preserve"> José aporta prácticas de su trabajo como desarrollador, como las pruebas y la publicación automática. Luis utiliza su formación en Introducción a la Programación para leer el código, revisar los resultados y relacionarlos con la astronomía.</w:t>
      </w:r>
    </w:p>
    <w:p>
      <w:pPr>
        <w:pStyle w:val="BodyText"/>
        <w:spacing w:line="360" w:lineRule="auto"/>
      </w:pPr>
      <w:r>
        <w:rPr>
          <w:lang w:val="es-CL"/>
        </w:rPr>
        <w:t xml:space="preserve">Nuestra propuesta combina esas herramientas en una web que funciona sin instalar programas. Su aporte didáctico es mostrar tanto un cálculo útil como uno que falla: al comparar dos métodos para una órbita, podemos ver por qué una figura atractiva no basta para confiar en una simulación.</w:t>
      </w:r>
    </w:p>
    <w:p>
      <w:pPr>
        <w:pStyle w:val="Heading2"/>
        <w:spacing w:line="360" w:lineRule="auto"/>
        <w:keepNext/>
      </w:pPr>
      <w:r>
        <w:rPr>
          <w:lang w:val="es-CL"/>
        </w:rPr>
        <w:t xml:space="preserve">1.3 Organización del trabajo</w:t>
      </w:r>
    </w:p>
    <w:p>
      <w:pPr>
        <w:pStyle w:val="BodyText"/>
        <w:spacing w:line="360" w:lineRule="auto"/>
      </w:pPr>
      <w:r>
        <w:rPr>
          <w:lang w:val="es-CL"/>
        </w:rPr>
        <w:t xml:space="preserve">José se encargó del motor de cálculo, las pruebas, las visualizaciones y el desarrollo técnico de la sección 3. Luis trabajó en la fundamentación astronómica, las fuentes, los pies de figura y las secciones 1, 2, 4 y 5. La declaración de apoyo con IA se incluye en la sección 5 para precisar cómo se elaboraron el código y el texto.</w:t>
      </w:r>
    </w:p>
    <w:p>
      <w:pPr>
        <w:pStyle w:val="BodyText"/>
        <w:spacing w:line="360" w:lineRule="auto"/>
      </w:pPr>
      <w:r>
        <w:rPr>
          <w:lang w:val="es-CL"/>
        </w:rPr>
        <w:t xml:space="preserve">En lo que sigue presentamos las ecuaciones necesarias para entender la herramienta, mostramos sus resultados y discutimos qué podemos concluir de ellos y qué queda fuera de su alcance.</w:t>
      </w:r>
    </w:p>
    <w:p>
      <w:pPr>
        <w:pStyle w:val="Heading1"/>
        <w:spacing w:line="360" w:lineRule="auto"/>
        <w:keepNext/>
      </w:pPr>
      <w:r>
        <w:rPr>
          <w:lang w:val="es-CL"/>
        </w:rPr>
        <w:t xml:space="preserve">2. Fundamentación Teórica y Técnica</w:t>
      </w:r>
    </w:p>
    <w:p>
      <w:pPr>
        <w:pStyle w:val="BodyText"/>
        <w:spacing w:line="360" w:lineRule="auto"/>
      </w:pPr>
      <w:r>
        <w:rPr>
          <w:lang w:val="es-CL"/>
        </w:rPr>
        <w:t xml:space="preserve">No buscamos desarrollar toda la teoría detrás de cada modelo. En esta sección explicamos las ideas del curso y las ecuaciones que necesitamos para entender qué hace el programa.</w:t>
      </w:r>
    </w:p>
    <w:p>
      <w:pPr>
        <w:pStyle w:val="Heading2"/>
        <w:spacing w:line="360" w:lineRule="auto"/>
        <w:keepNext/>
      </w:pPr>
      <w:r>
        <w:rPr>
          <w:lang w:val="es-CL"/>
        </w:rPr>
        <w:t xml:space="preserve">2.1 Gravedad de Newton y leyes de Kepler</w:t>
      </w:r>
    </w:p>
    <w:p>
      <w:pPr>
        <w:pStyle w:val="BodyText"/>
        <w:spacing w:line="360" w:lineRule="auto"/>
      </w:pPr>
      <w:r>
        <w:rPr>
          <w:lang w:val="es-CL"/>
        </w:rPr>
        <w:t xml:space="preserve">Para simular una órbita partimos de la gravitación de Newton. La magnitud de la aceleración de un planeta debida al Sol es:</w:t>
      </w:r>
    </w:p>
    <w:p>
      <w:pPr>
        <w:pStyle w:val="BodyText"/>
        <w:spacing w:line="360" w:lineRule="auto"/>
        <w:jc w:val="center"/>
      </w:pPr>
      <w:r>
        <w:rPr>
          <w:lang w:val="es-CL"/>
        </w:rPr>
        <w:t xml:space="preserve">g(r) = GM/r².</w:t>
      </w:r>
    </w:p>
    <w:p>
      <w:pPr>
        <w:pStyle w:val="BodyText"/>
        <w:spacing w:line="360" w:lineRule="auto"/>
      </w:pPr>
      <w:r>
        <w:rPr>
          <w:lang w:val="es-CL"/>
        </w:rPr>
        <w:t xml:space="preserve">Aquí G es la constante de gravitación, M la masa del Sol y r la distancia al planeta. La aceleración apunta hacia el Sol y disminuye al aumentar la distancia. Suponemos que la masa del planeta es pequeña frente a la solar e ignoramos la atracción de los otros planetas.</w:t>
      </w:r>
    </w:p>
    <w:p>
      <w:pPr>
        <w:pStyle w:val="BodyText"/>
        <w:spacing w:line="360" w:lineRule="auto"/>
      </w:pPr>
      <w:r>
        <w:rPr>
          <w:lang w:val="es-CL"/>
        </w:rPr>
        <w:t xml:space="preserve">Comparamos las trayectorias calculadas con las leyes de Kepler de la clase 5: órbitas elípticas con el Sol en un foco; áreas iguales en tiempos iguales; y una relación entre el período y el tamaño de la órbita (</w:t>
      </w:r>
      <w:r>
        <w:rPr>
          <w:lang w:val="es-CL"/>
          <w:i/>
        </w:rPr>
        <w:t xml:space="preserve">La consolidación del modelo heliocéntrico</w:t>
      </w:r>
      <w:r>
        <w:rPr>
          <w:lang w:val="es-CL"/>
        </w:rPr>
        <w:t xml:space="preserve">, s. f.). Para esta última usamos:</w:t>
      </w:r>
    </w:p>
    <w:p>
      <w:pPr>
        <w:pStyle w:val="BodyText"/>
        <w:spacing w:line="360" w:lineRule="auto"/>
        <w:jc w:val="center"/>
      </w:pPr>
      <w:r>
        <w:rPr>
          <w:lang w:val="es-CL"/>
        </w:rPr>
        <w:t xml:space="preserve">T²/a³ = 1, con T en años y a en unidades astronómicas.</w:t>
      </w:r>
    </w:p>
    <w:p>
      <w:pPr>
        <w:pStyle w:val="BodyText"/>
        <w:spacing w:line="360" w:lineRule="auto"/>
      </w:pPr>
      <w:r>
        <w:rPr>
          <w:lang w:val="es-CL"/>
        </w:rPr>
        <w:t xml:space="preserve">T es el tiempo de una vuelta y a el semieje mayor, que representa el tamaño de la elipse. Una unidad astronómica (UA) es aproximadamente la distancia media entre la Tierra y el Sol. Esta forma de la ecuación corresponde a un cuerpo que orbita el Sol en las unidades adoptadas; no vale con la misma constante para cualquier estrella.</w:t>
      </w:r>
    </w:p>
    <w:p>
      <w:pPr>
        <w:pStyle w:val="BodyText"/>
        <w:spacing w:line="360" w:lineRule="auto"/>
      </w:pPr>
      <w:r>
        <w:rPr>
          <w:lang w:val="es-CL"/>
        </w:rPr>
        <w:t xml:space="preserve">Para iniciar cada órbita usamos su tamaño y excentricidad, que indica cuánto se aleja de un círculo. El código calcula la velocidad inicial con la relación orbital conocida como vis-viva. Dejamos ese detalle en el programa: lo importante para nuestro trabajo es comprobar después si la trayectoria respeta las relaciones de Kepler.</w:t>
      </w:r>
    </w:p>
    <w:p>
      <w:pPr>
        <w:pStyle w:val="Heading2"/>
        <w:spacing w:line="360" w:lineRule="auto"/>
        <w:keepNext/>
      </w:pPr>
      <w:r>
        <w:rPr>
          <w:lang w:val="es-CL"/>
        </w:rPr>
        <w:t xml:space="preserve">2.2 Rotación de galaxias y materia oscura</w:t>
      </w:r>
    </w:p>
    <w:p>
      <w:pPr>
        <w:pStyle w:val="BodyText"/>
        <w:spacing w:line="360" w:lineRule="auto"/>
      </w:pPr>
      <w:r>
        <w:rPr>
          <w:lang w:val="es-CL"/>
        </w:rPr>
        <w:t xml:space="preserve">Una curva de rotación muestra cómo cambia la velocidad orbital del gas o las estrellas con la distancia al centro de una galaxia. Para entender su relación con la masa, aproximamos el movimiento como circular y la distribución de masa como esférica. Igualamos la aceleración necesaria para girar, v²/r, con la gravitatoria, GM(&lt;r)/r²:</w:t>
      </w:r>
    </w:p>
    <w:p>
      <w:pPr>
        <w:pStyle w:val="BodyText"/>
        <w:spacing w:line="360" w:lineRule="auto"/>
        <w:jc w:val="center"/>
      </w:pPr>
      <w:r>
        <w:rPr>
          <w:lang w:val="es-CL"/>
        </w:rPr>
        <w:t xml:space="preserve">v²/r = GM(&lt;r)/r² → M(&lt;r) ≈ v²r/G.</w:t>
      </w:r>
    </w:p>
    <w:p>
      <w:pPr>
        <w:pStyle w:val="BodyText"/>
        <w:spacing w:line="360" w:lineRule="auto"/>
      </w:pPr>
      <w:r>
        <w:rPr>
          <w:lang w:val="es-CL"/>
        </w:rPr>
        <w:t xml:space="preserve">M(&lt;r) es la masa encerrada dentro del radio r. Si casi toda la masa estuviera concentrada hacia el centro, esperaríamos que la velocidad disminuyera suficientemente lejos de él. En cambio, muchas galaxias mantienen velocidades altas en sus regiones exteriores. Esta discrepancia, estudiada históricamente en galaxias como Andrómeda (Rubin y Ford, 1970), es una de las evidencias de materia oscura vistas en la clase 10 (</w:t>
      </w:r>
      <w:r>
        <w:rPr>
          <w:lang w:val="es-CL"/>
          <w:i/>
        </w:rPr>
        <w:t xml:space="preserve">Cosmología, materia y energía oscura</w:t>
      </w:r>
      <w:r>
        <w:rPr>
          <w:lang w:val="es-CL"/>
        </w:rPr>
        <w:t xml:space="preserve">, s. f.).</w:t>
      </w:r>
    </w:p>
    <w:p>
      <w:pPr>
        <w:pStyle w:val="BodyText"/>
        <w:spacing w:line="360" w:lineRule="auto"/>
      </w:pPr>
      <w:r>
        <w:rPr>
          <w:lang w:val="es-CL"/>
        </w:rPr>
        <w:t xml:space="preserve">Para explorarla usamos NGC 3198 y los datos de SPARC (Lelli et al., 2016). Comparamos el aporte gravitacional del gas y las estrellas con un modelo que añade un </w:t>
      </w:r>
      <w:r>
        <w:rPr>
          <w:lang w:val="es-CL"/>
          <w:b/>
        </w:rPr>
        <w:t xml:space="preserve">halo de materia oscura</w:t>
      </w:r>
      <w:r>
        <w:rPr>
          <w:lang w:val="es-CL"/>
        </w:rPr>
        <w:t xml:space="preserve">, una distribución extendida de masa que no observamos mediante su luz. Elegimos un perfil pseudo-isotermo: un modelo sencillo descrito por el tamaño de su región central y la velocidad a la que tiende su contribución lejos del centro.</w:t>
      </w:r>
    </w:p>
    <w:p>
      <w:pPr>
        <w:pStyle w:val="BodyText"/>
        <w:spacing w:line="360" w:lineRule="auto"/>
      </w:pPr>
      <w:r>
        <w:rPr>
          <w:lang w:val="es-CL"/>
        </w:rPr>
        <w:t xml:space="preserve">Para estimar la masa de las estrellas a partir de su luz usamos un cociente masa-luz fijo de 0,5 M☉/L☉, donde M☉ y L☉ son la masa y la luminosidad del Sol. Es un supuesto del cálculo, no una medición directa de toda la masa. También reconocemos que aproximar una galaxia como una esfera no representa exactamente su disco.</w:t>
      </w:r>
    </w:p>
    <w:p>
      <w:pPr>
        <w:pStyle w:val="Heading2"/>
        <w:spacing w:line="360" w:lineRule="auto"/>
        <w:keepNext/>
      </w:pPr>
      <w:r>
        <w:rPr>
          <w:lang w:val="es-CL"/>
        </w:rPr>
        <w:t xml:space="preserve">2.3 Expansión del Universo y supernovas</w:t>
      </w:r>
    </w:p>
    <w:p>
      <w:pPr>
        <w:pStyle w:val="BodyText"/>
        <w:spacing w:line="360" w:lineRule="auto"/>
      </w:pPr>
      <w:r>
        <w:rPr>
          <w:lang w:val="es-CL"/>
        </w:rPr>
        <w:t xml:space="preserve">La clase 10 presenta la expansión del Universo y sus posibles destinos. La ley de Hubble–Lemaître relaciona la velocidad de alejamiento con la distancia:</w:t>
      </w:r>
    </w:p>
    <w:p>
      <w:pPr>
        <w:pStyle w:val="BodyText"/>
        <w:spacing w:line="360" w:lineRule="auto"/>
        <w:jc w:val="center"/>
      </w:pPr>
      <w:r>
        <w:rPr>
          <w:lang w:val="es-CL"/>
        </w:rPr>
        <w:t xml:space="preserve">v = H₀d.</w:t>
      </w:r>
    </w:p>
    <w:p>
      <w:pPr>
        <w:pStyle w:val="BodyText"/>
        <w:spacing w:line="360" w:lineRule="auto"/>
      </w:pPr>
      <w:r>
        <w:rPr>
          <w:lang w:val="es-CL"/>
        </w:rPr>
        <w:t xml:space="preserve">H₀ es la constante de Hubble actual y d la distancia. Esta relación orienta la interpretación a distancias pequeñas; para comparar supernovas lejanas usamos las distancias del modelo cosmológico, no una extrapolación simple de esta fórmula.</w:t>
      </w:r>
    </w:p>
    <w:p>
      <w:pPr>
        <w:pStyle w:val="BodyText"/>
        <w:spacing w:line="360" w:lineRule="auto"/>
      </w:pPr>
      <w:r>
        <w:rPr>
          <w:lang w:val="es-CL"/>
        </w:rPr>
        <w:t xml:space="preserve">Representamos el tamaño relativo del Universo mediante el </w:t>
      </w:r>
      <w:r>
        <w:rPr>
          <w:lang w:val="es-CL"/>
          <w:b/>
        </w:rPr>
        <w:t xml:space="preserve">factor de escala</w:t>
      </w:r>
      <w:r>
        <w:rPr>
          <w:lang w:val="es-CL"/>
        </w:rPr>
        <w:t xml:space="preserve"> a(t), que vale 1 hoy. No es el semieje orbital de la sección 2.1. Si a(t) crece, el Universo se expande. El estiramiento de la luz se mide con el </w:t>
      </w:r>
      <w:r>
        <w:rPr>
          <w:lang w:val="es-CL"/>
          <w:b/>
        </w:rPr>
        <w:t xml:space="preserve">corrimiento al rojo</w:t>
      </w:r>
      <w:r>
        <w:rPr>
          <w:lang w:val="es-CL"/>
        </w:rPr>
        <w:t xml:space="preserve"> z, relacionado con el factor de escala en el momento de emisión por 1 + z = 1/a.</w:t>
      </w:r>
    </w:p>
    <w:p>
      <w:pPr>
        <w:pStyle w:val="BodyText"/>
        <w:spacing w:line="360" w:lineRule="auto"/>
      </w:pPr>
      <w:r>
        <w:rPr>
          <w:lang w:val="es-CL"/>
        </w:rPr>
        <w:t xml:space="preserve">Para calcular la evolución incorporamos al programa una forma de la ecuación de Friedmann, sin derivarla (Ryden, 2016):</w:t>
      </w:r>
    </w:p>
    <w:p>
      <w:pPr>
        <w:pStyle w:val="BodyText"/>
        <w:spacing w:line="360" w:lineRule="auto"/>
        <w:jc w:val="center"/>
      </w:pPr>
      <w:r>
        <w:rPr>
          <w:lang w:val="es-CL"/>
        </w:rPr>
        <w:t xml:space="preserve">ä = H₀²[ΩΛa − Ωm/(2a²)].</w:t>
      </w:r>
    </w:p>
    <w:p>
      <w:pPr>
        <w:pStyle w:val="BodyText"/>
        <w:spacing w:line="360" w:lineRule="auto"/>
      </w:pPr>
      <w:r>
        <w:rPr>
          <w:lang w:val="es-CL"/>
        </w:rPr>
        <w:t xml:space="preserve">ä indica cómo cambia la rapidez de expansión. Ωm representa la densidad de materia actual y ΩΛ la de una constante cosmológica, nuestra forma simplificada de energía oscura. Ambas se expresan respecto de la densidad crítica, la referencia asociada a una geometría espacial plana. En esta ecuación, sin radiación, la materia frena la expansión y el término de energía oscura puede acelerarla. La usamos como herramienta del proyecto, sin desarrollar la relatividad general que fundamenta el modelo.</w:t>
      </w:r>
    </w:p>
    <w:p>
      <w:pPr>
        <w:pStyle w:val="BodyText"/>
        <w:spacing w:line="360" w:lineRule="auto"/>
      </w:pPr>
      <w:r>
        <w:rPr>
          <w:lang w:val="es-CL"/>
        </w:rPr>
        <w:t xml:space="preserve">Para contrastar los escenarios usamos </w:t>
      </w:r>
      <w:r>
        <w:rPr>
          <w:lang w:val="es-CL"/>
          <w:b/>
        </w:rPr>
        <w:t xml:space="preserve">supernovas de tipo Ia</w:t>
      </w:r>
      <w:r>
        <w:rPr>
          <w:lang w:val="es-CL"/>
        </w:rPr>
        <w:t xml:space="preserve">. No todas tienen idéntica luminosidad: sus curvas de luz permiten estandarizarlas y estimar distancias, como vimos en la clase 9 (</w:t>
      </w:r>
      <w:r>
        <w:rPr>
          <w:lang w:val="es-CL"/>
          <w:i/>
        </w:rPr>
        <w:t xml:space="preserve">Escalera de distancias</w:t>
      </w:r>
      <w:r>
        <w:rPr>
          <w:lang w:val="es-CL"/>
        </w:rPr>
        <w:t xml:space="preserve">, s. f.). Su observación fue clave para identificar la expansión acelerada (Riess et al., 1998).</w:t>
      </w:r>
    </w:p>
    <w:p>
      <w:pPr>
        <w:pStyle w:val="BodyText"/>
        <w:spacing w:line="360" w:lineRule="auto"/>
      </w:pPr>
      <w:r>
        <w:rPr>
          <w:lang w:val="es-CL"/>
        </w:rPr>
        <w:t xml:space="preserve">El programa relaciona el brillo esperado con la distancia y lo expresa mediante el </w:t>
      </w:r>
      <w:r>
        <w:rPr>
          <w:lang w:val="es-CL"/>
          <w:b/>
        </w:rPr>
        <w:t xml:space="preserve">módulo de distancia</w:t>
      </w:r>
      <w:r>
        <w:rPr>
          <w:lang w:val="es-CL"/>
        </w:rPr>
        <w:t xml:space="preserve"> μ, una medida basada en magnitudes. Un valor mayor corresponde a una distancia mayor. Así podemos comparar las curvas con los datos de Pantheon+ (Scolnic et al., 2022; Brout et al., 2022), sin desarrollar aquí todas las fórmulas de distancia. Usamos pársecs como unidad: un kilopársec (kpc) son mil pársecs y un megapársec (Mpc), un millón.</w:t>
      </w:r>
    </w:p>
    <w:p>
      <w:pPr>
        <w:pStyle w:val="Heading2"/>
        <w:spacing w:line="360" w:lineRule="auto"/>
        <w:keepNext/>
      </w:pPr>
      <w:r>
        <w:rPr>
          <w:lang w:val="es-CL"/>
        </w:rPr>
        <w:t xml:space="preserve">2.4 Cómo hacemos los cálculos y los comprobamos</w:t>
      </w:r>
    </w:p>
    <w:p>
      <w:pPr>
        <w:pStyle w:val="BodyText"/>
        <w:spacing w:line="360" w:lineRule="auto"/>
      </w:pPr>
      <w:r>
        <w:rPr>
          <w:lang w:val="es-CL"/>
        </w:rPr>
        <w:t xml:space="preserve">El computador avanza la simulación en pasos de duración Δt. Comparamos dos métodos. </w:t>
      </w:r>
      <w:r>
        <w:rPr>
          <w:lang w:val="es-CL"/>
          <w:b/>
        </w:rPr>
        <w:t xml:space="preserve">Euler</w:t>
      </w:r>
      <w:r>
        <w:rPr>
          <w:lang w:val="es-CL"/>
        </w:rPr>
        <w:t xml:space="preserve"> usa la posición y la velocidad al inicio de cada paso para calcular el siguiente. Es sencillo, pero en las órbitas estudiadas acumula un error importante de energía. </w:t>
      </w:r>
      <w:r>
        <w:rPr>
          <w:lang w:val="es-CL"/>
          <w:b/>
        </w:rPr>
        <w:t xml:space="preserve">Leapfrog</w:t>
      </w:r>
      <w:r>
        <w:rPr>
          <w:lang w:val="es-CL"/>
        </w:rPr>
        <w:t xml:space="preserve"> corrige primero la velocidad durante medio paso, avanza la posición y termina de corregir la velocidad con la aceleración nueva.</w:t>
      </w:r>
    </w:p>
    <w:p>
      <w:pPr>
        <w:pStyle w:val="BodyText"/>
        <w:spacing w:line="360" w:lineRule="auto"/>
      </w:pPr>
      <w:r>
        <w:rPr>
          <w:lang w:val="es-CL"/>
        </w:rPr>
        <w:t xml:space="preserve">Elegimos leapfrog porque, con un paso suficientemente pequeño, mantiene el error de energía limitado en las pruebas orbitales. No conserva la energía de forma exactamente perfecta ni garantiza cualquier simulación (Hairer et al., 2003). En la sección 3 mostramos las tres instrucciones que realizan ese avance. Para las distancias cosmológicas usamos la regla del trapecio: dividimos el área bajo una función en partes pequeñas y sumamos sus aproximaciones.</w:t>
      </w:r>
    </w:p>
    <w:p>
      <w:pPr>
        <w:pStyle w:val="BodyText"/>
        <w:spacing w:line="360" w:lineRule="auto"/>
      </w:pPr>
      <w:r>
        <w:rPr>
          <w:lang w:val="es-CL"/>
        </w:rPr>
        <w:t xml:space="preserve">Para comparar observaciones y predicciones usamos </w:t>
      </w:r>
      <w:r>
        <w:rPr>
          <w:lang w:val="es-CL"/>
          <w:b/>
        </w:rPr>
        <w:t xml:space="preserve">χ²</w:t>
      </w:r>
      <w:r>
        <w:rPr>
          <w:lang w:val="es-CL"/>
        </w:rPr>
        <w:t xml:space="preserve"> (chi cuadrado). Este valor resume las diferencias considerando las incertidumbres de las mediciones: entre modelos comparados con los mismos datos y procedimiento, uno menor indica un mejor acuerdo. En las supernovas permitimos además desplazar verticalmente cada curva para no confundir una diferencia de calibración con una diferencia en su forma. No analizamos todas las relaciones entre los errores de las mediciones, por lo que esta comparación es didáctica.</w:t>
      </w:r>
    </w:p>
    <w:p>
      <w:pPr>
        <w:pStyle w:val="BodyText"/>
        <w:spacing w:line="360" w:lineRule="auto"/>
      </w:pPr>
      <w:r>
        <w:rPr>
          <w:lang w:val="es-CL"/>
        </w:rPr>
        <w:t xml:space="preserve">Programamos los cálculos con Python y NumPy (Harris et al., 2020). Usamos pytest para ejecutar pruebas automáticas: comprobar resultados conocidos antes de interpretar casos más complejos. El mismo paquete funciona en el navegador mediante Pyodide, y Plotly dibuja los gráficos (The Pyodide development team, s. f.; Plotly Technologies Inc., s. f.). Las derivaciones y los detalles de implementación quedan disponibles en el repositorio, sin ser necesarios para seguir el argumento del informe.</w:t>
      </w:r>
    </w:p>
    <w:p>
      <w:pPr>
        <w:pStyle w:val="Heading1"/>
        <w:spacing w:line="360" w:lineRule="auto"/>
        <w:keepNext/>
      </w:pPr>
      <w:r>
        <w:rPr>
          <w:lang w:val="es-CL"/>
        </w:rPr>
        <w:t xml:space="preserve">3. Desarrollo de la Propuesta / Prototipo</w:t>
      </w:r>
    </w:p>
    <w:p>
      <w:pPr>
        <w:pStyle w:val="Heading2"/>
        <w:spacing w:line="360" w:lineRule="auto"/>
        <w:keepNext/>
      </w:pPr>
      <w:r>
        <w:rPr>
          <w:lang w:val="es-CL"/>
        </w:rPr>
        <w:t xml:space="preserve">3.1 De una pregunta a una figura</w:t>
      </w:r>
    </w:p>
    <w:p>
      <w:pPr>
        <w:pStyle w:val="BodyText"/>
        <w:spacing w:line="360" w:lineRule="auto"/>
      </w:pPr>
      <w:r>
        <w:rPr>
          <w:lang w:val="es-CL"/>
        </w:rPr>
        <w:t xml:space="preserve">Construimos una web con cuatro pestañas: Sistema Solar, Galaxia, Universo y Supernovas. Las dos últimas exploran la misma escala cosmológica desde el modelo y las observaciones. La persona elige parámetros, el programa calcula los resultados y las figuras se actualizan; no son animaciones con resultados pregrabados.</w:t>
      </w:r>
    </w:p>
    <w:p>
      <w:pPr>
        <w:pStyle w:val="BodyText"/>
        <w:spacing w:line="360" w:lineRule="auto"/>
      </w:pPr>
      <w:r>
        <w:rPr>
          <w:lang w:val="es-CL"/>
        </w:rPr>
        <w:t xml:space="preserve">Separamos el proyecto en cuatro partes: ecuaciones y métodos de cálculo, pruebas automáticas, datos originales e interfaz. El recorrido básico es:</w:t>
      </w:r>
    </w:p>
    <w:p>
      <w:pPr>
        <w:pStyle w:val="BodyText"/>
        <w:spacing w:before="0" w:after="0" w:line="360" w:lineRule="auto"/>
      </w:pPr>
      <w:r>
        <w:rPr>
          <w:lang w:val="es-CL"/>
          <w:rFonts w:ascii="Courier New" w:hAnsi="Courier New"/>
        </w:rPr>
        <w:t xml:space="preserve">Parámetros elegidos → cálculo en Python + datos → resultados → figuras</w:t>
      </w:r>
    </w:p>
    <w:p>
      <w:pPr>
        <w:pStyle w:val="BodyText"/>
        <w:spacing w:line="360" w:lineRule="auto"/>
      </w:pPr>
      <w:r>
        <w:rPr>
          <w:lang w:val="es-CL"/>
        </w:rPr>
        <w:t xml:space="preserve">React organiza los controles. El cálculo se ejecuta con Pyodide en un Web Worker, un proceso de trabajo separado que evita bloquear la interfaz. Plotly representa los resultados. Usamos el mismo paquete Python en la web y en las pruebas locales, para no mantener dos versiones distintas de las ecuaciones.</w:t>
      </w:r>
    </w:p>
    <w:p>
      <w:pPr>
        <w:pStyle w:val="Heading2"/>
        <w:spacing w:line="360" w:lineRule="auto"/>
        <w:keepNext/>
      </w:pPr>
      <w:r>
        <w:rPr>
          <w:lang w:val="es-CL"/>
        </w:rPr>
        <w:t xml:space="preserve">3.2 El avance temporal y sus pruebas</w:t>
      </w:r>
    </w:p>
    <w:p>
      <w:pPr>
        <w:pStyle w:val="BodyText"/>
        <w:spacing w:line="360" w:lineRule="auto"/>
      </w:pPr>
      <w:r>
        <w:rPr>
          <w:lang w:val="es-CL"/>
        </w:rPr>
        <w:t xml:space="preserve">El motor recibe una posición, una velocidad, un paso de tiempo y una función que calcula la aceleración. Repite el avance y guarda la evolución. Este extracto de </w:t>
      </w:r>
      <w:r>
        <w:rPr>
          <w:lang w:val="es-CL"/>
          <w:rFonts w:ascii="Courier New" w:hAnsi="Courier New"/>
        </w:rPr>
        <w:t xml:space="preserve">integrators.py</w:t>
      </w:r>
      <w:r>
        <w:rPr>
          <w:lang w:val="es-CL"/>
        </w:rPr>
        <w:t xml:space="preserve"> realiza un paso de leapfrog; </w:t>
      </w:r>
      <w:r>
        <w:rPr>
          <w:lang w:val="es-CL"/>
          <w:rFonts w:ascii="Courier New" w:hAnsi="Courier New"/>
        </w:rPr>
        <w:t xml:space="preserve">r</w:t>
      </w:r>
      <w:r>
        <w:rPr>
          <w:lang w:val="es-CL"/>
        </w:rPr>
        <w:t xml:space="preserve"> es la posición, </w:t>
      </w:r>
      <w:r>
        <w:rPr>
          <w:lang w:val="es-CL"/>
          <w:rFonts w:ascii="Courier New" w:hAnsi="Courier New"/>
        </w:rPr>
        <w:t xml:space="preserve">v</w:t>
      </w:r>
      <w:r>
        <w:rPr>
          <w:lang w:val="es-CL"/>
        </w:rPr>
        <w:t xml:space="preserve"> la velocidad, </w:t>
      </w:r>
      <w:r>
        <w:rPr>
          <w:lang w:val="es-CL"/>
          <w:rFonts w:ascii="Courier New" w:hAnsi="Courier New"/>
        </w:rPr>
        <w:t xml:space="preserve">dt</w:t>
      </w:r>
      <w:r>
        <w:rPr>
          <w:lang w:val="es-CL"/>
        </w:rPr>
        <w:t xml:space="preserve"> el paso y </w:t>
      </w:r>
      <w:r>
        <w:rPr>
          <w:lang w:val="es-CL"/>
          <w:rFonts w:ascii="Courier New" w:hAnsi="Courier New"/>
        </w:rPr>
        <w:t xml:space="preserve">accel</w:t>
      </w:r>
      <w:r>
        <w:rPr>
          <w:lang w:val="es-CL"/>
        </w:rPr>
        <w:t xml:space="preserve"> la función de aceleración:</w:t>
      </w:r>
    </w:p>
    <w:p>
      <w:pPr>
        <w:pStyle w:val="BodyText"/>
        <w:spacing w:before="0" w:after="0" w:line="360" w:lineRule="auto"/>
      </w:pPr>
      <w:r>
        <w:rPr>
          <w:lang w:val="es-CL"/>
          <w:rFonts w:ascii="Courier New" w:hAnsi="Courier New"/>
        </w:rPr>
        <w:t xml:space="preserve">vn12 = v + accel(r)*dt*1/2</w:t>
      </w:r>
    </w:p>
    <w:p>
      <w:pPr>
        <w:pStyle w:val="BodyText"/>
        <w:spacing w:before="0" w:after="0" w:line="360" w:lineRule="auto"/>
      </w:pPr>
      <w:r>
        <w:rPr>
          <w:lang w:val="es-CL"/>
          <w:rFonts w:ascii="Courier New" w:hAnsi="Courier New"/>
        </w:rPr>
        <w:t xml:space="preserve">rn1 = r + vn12*dt</w:t>
      </w:r>
    </w:p>
    <w:p>
      <w:pPr>
        <w:pStyle w:val="BodyText"/>
        <w:spacing w:before="0" w:after="0" w:line="360" w:lineRule="auto"/>
      </w:pPr>
      <w:r>
        <w:rPr>
          <w:lang w:val="es-CL"/>
          <w:rFonts w:ascii="Courier New" w:hAnsi="Courier New"/>
        </w:rPr>
        <w:t xml:space="preserve">vn1 = vn12 + accel(rn1)*dt*1/2</w:t>
      </w:r>
    </w:p>
    <w:p>
      <w:pPr>
        <w:pStyle w:val="BodyText"/>
        <w:spacing w:before="0" w:after="0" w:line="360" w:lineRule="auto"/>
      </w:pPr>
      <w:r>
        <w:rPr>
          <w:lang w:val="es-CL"/>
          <w:rFonts w:ascii="Courier New" w:hAnsi="Courier New"/>
        </w:rPr>
        <w:t xml:space="preserve">return rn1,vn1</w:t>
      </w:r>
    </w:p>
    <w:p>
      <w:pPr>
        <w:pStyle w:val="BodyText"/>
        <w:spacing w:line="360" w:lineRule="auto"/>
      </w:pPr>
      <w:r>
        <w:rPr>
          <w:lang w:val="es-CL"/>
        </w:rPr>
        <w:t xml:space="preserve">Las instrucciones corresponden a la media corrección de velocidad, el avance de posición y la segunda media corrección. Podemos reutilizarlas cambiando la función de aceleración. En cosmología, la variable que evoluciona es el factor de escala, no la posición de un planeta.</w:t>
      </w:r>
    </w:p>
    <w:p>
      <w:pPr>
        <w:pStyle w:val="BodyText"/>
        <w:spacing w:line="360" w:lineRule="auto"/>
      </w:pPr>
      <w:r>
        <w:rPr>
          <w:lang w:val="es-CL"/>
        </w:rPr>
        <w:t xml:space="preserve">No comprobamos el programa solo mirando sus figuras. Las pruebas comparan órbitas con las leyes de Kepler y edades cosmológicas con soluciones conocidas para ciertos parámetros. También revisan propiedades del código, como no modificar los datos de entrada. Esto detecta errores concretos, sin demostrar que el modelo incluya toda la física real.</w:t>
      </w:r>
    </w:p>
    <w:p>
      <w:pPr>
        <w:pStyle w:val="Heading2"/>
        <w:spacing w:line="360" w:lineRule="auto"/>
        <w:keepNext/>
      </w:pPr>
      <w:r>
        <w:rPr>
          <w:lang w:val="es-CL"/>
        </w:rPr>
        <w:t xml:space="preserve">3.3 Sistema Solar: empezar por un caso conocido</w:t>
      </w:r>
    </w:p>
    <w:p>
      <w:pPr>
        <w:pStyle w:val="BodyText"/>
        <w:spacing w:line="360" w:lineRule="auto"/>
      </w:pPr>
      <w:r>
        <w:rPr>
          <w:lang w:val="es-CL"/>
        </w:rPr>
        <w:t xml:space="preserve">Simulamos por separado cada planeta alrededor del Sol. Para la Tierra, con pasos de 0,01 años durante cinco años, Euler produce una espiral y un error de energía de 57,6 %. El planeta termina a 2,01 UA del Sol. Leapfrog mantiene una trayectoria aproximadamente cerrada con la misma fuerza y el mismo paso (figuras 1a y 1b). La diferencia está en cómo calculamos el movimiento, no en una fuerza nueva.</w:t>
      </w:r>
    </w:p>
    <w:p>
      <w:pPr>
        <w:pStyle w:val="BodyText"/>
        <w:spacing w:line="360" w:lineRule="auto"/>
      </w:pPr>
      <w:r>
        <w:rPr>
          <w:lang w:val="es-CL"/>
        </w:rPr>
        <w:t xml:space="preserve">En una prueba más exigente y distinta de esa figura, una Tierra inicialmente circular con leapfrog y pasos de 0,001 años mantiene un error relativo de energía menor que 10⁻⁶ durante 100 órbitas. Conservamos esa cifra como control técnico, no como requisito para entender el resultado visual.</w:t>
      </w:r>
    </w:p>
    <w:p>
      <w:pPr>
        <w:pStyle w:val="BodyText"/>
        <w:spacing w:line="360" w:lineRule="auto"/>
      </w:pPr>
      <w:r>
        <w:rPr>
          <w:lang w:val="es-CL"/>
        </w:rPr>
        <w:t xml:space="preserve">También medimos el período de los ocho planetas de la interfaz y obtenemos T²/a³ cercano a 1, con diferencias menores que 0,1 % (figura 2). La prueba automática de esta relación cubre de Mercurio a Saturno. Así conectamos la simulación con un contenido conocido del curso antes de pasar a escalas menos intuitivas.</w:t>
      </w:r>
    </w:p>
    <w:p>
      <w:pPr>
        <w:pStyle w:val="Heading2"/>
        <w:spacing w:line="360" w:lineRule="auto"/>
        <w:keepNext/>
      </w:pPr>
      <w:r>
        <w:rPr>
          <w:lang w:val="es-CL"/>
        </w:rPr>
        <w:t xml:space="preserve">3.4 Galaxia: lo visible no explica toda la rotación</w:t>
      </w:r>
    </w:p>
    <w:p>
      <w:pPr>
        <w:pStyle w:val="BodyText"/>
        <w:spacing w:line="360" w:lineRule="auto"/>
      </w:pPr>
      <w:r>
        <w:rPr>
          <w:lang w:val="es-CL"/>
        </w:rPr>
        <w:t xml:space="preserve">Para NGC 3198 usamos 43 mediciones de SPARC, hasta unos 44 kpc del centro (Lelli et al., 2016). Aquí no avanzamos órbitas en el tiempo: calculamos las contribuciones gravitacionales del gas, las estrellas y un posible halo, y comparamos la curva resultante con los datos.</w:t>
      </w:r>
    </w:p>
    <w:p>
      <w:pPr>
        <w:pStyle w:val="BodyText"/>
        <w:spacing w:line="360" w:lineRule="auto"/>
      </w:pPr>
      <w:r>
        <w:rPr>
          <w:lang w:val="es-CL"/>
        </w:rPr>
        <w:t xml:space="preserve">En la región exterior, la materia visible predice unos 65 km/s, frente a los aproximadamente 150 km/s observados. Al añadir el halo obtenemos un mejor acuerdo (figura 3). El ajuste de referencia entrega un radio central de unos 2,7 kpc y una velocidad límite de 142 km/s.</w:t>
      </w:r>
    </w:p>
    <w:p>
      <w:pPr>
        <w:pStyle w:val="BodyText"/>
        <w:spacing w:line="360" w:lineRule="auto"/>
      </w:pPr>
      <w:r>
        <w:rPr>
          <w:lang w:val="es-CL"/>
        </w:rPr>
        <w:t xml:space="preserve">Con M ≈ v²r/G estimamos que cerca del 81 % de la masa dentro del último radio sería oscura, bajo los supuestos adoptados. Esta proporción corresponde a este modelo de NGC 3198: no es una medición de la composición de todo el Universo ni determina de qué está hecha la materia oscura.</w:t>
      </w:r>
    </w:p>
    <w:p>
      <w:pPr>
        <w:pStyle w:val="Heading2"/>
        <w:spacing w:line="360" w:lineRule="auto"/>
        <w:keepNext/>
      </w:pPr>
      <w:r>
        <w:rPr>
          <w:lang w:val="es-CL"/>
        </w:rPr>
        <w:t xml:space="preserve">3.5 Universo: comparar historias posibles</w:t>
      </w:r>
    </w:p>
    <w:p>
      <w:pPr>
        <w:pStyle w:val="BodyText"/>
        <w:spacing w:line="360" w:lineRule="auto"/>
      </w:pPr>
      <w:r>
        <w:rPr>
          <w:lang w:val="es-CL"/>
        </w:rPr>
        <w:t xml:space="preserve">Tomamos el presente como a = 1 y calculamos hacia el futuro y hacia el pasado. Comparamos los cuatro escenarios de la clase 10: crítico, abierto, acelerado y de recolapso (</w:t>
      </w:r>
      <w:r>
        <w:rPr>
          <w:lang w:val="es-CL"/>
          <w:i/>
        </w:rPr>
        <w:t xml:space="preserve">Cosmología, materia y energía oscura</w:t>
      </w:r>
      <w:r>
        <w:rPr>
          <w:lang w:val="es-CL"/>
        </w:rPr>
        <w:t xml:space="preserve">, s. f.). Cambiar la cantidad de materia y energía oscura cambia la forma de las curvas (figura 4).</w:t>
      </w:r>
    </w:p>
    <w:p>
      <w:pPr>
        <w:pStyle w:val="BodyText"/>
        <w:spacing w:line="360" w:lineRule="auto"/>
      </w:pPr>
      <w:r>
        <w:rPr>
          <w:lang w:val="es-CL"/>
        </w:rPr>
        <w:t xml:space="preserve">Con H₀ = 67,4 km/s/Mpc, obtenemos edades aproximadas de 9,67 mil millones de años para el escenario crítico (Ωm = 1, ΩΛ = 0), 11,7 para el abierto (0,3; 0) y 13,86 para el acelerado (0,31; 0,69). El cuarto caso, con mucha más materia (5; 0), ilustra una expansión que se detiene y luego se invierte. Gyr es la abreviatura de mil millones de años.</w:t>
      </w:r>
    </w:p>
    <w:p>
      <w:pPr>
        <w:pStyle w:val="BodyText"/>
        <w:spacing w:line="360" w:lineRule="auto"/>
      </w:pPr>
      <w:r>
        <w:rPr>
          <w:lang w:val="es-CL"/>
        </w:rPr>
        <w:t xml:space="preserve">El escenario acelerado tiene una edad cercana a los 13,8 Gyr inferidos por Planck (Planck Collaboration, 2020). Es una comparación, no una condición que impongamos al programa para que todos los modelos den la misma respuesta.</w:t>
      </w:r>
    </w:p>
    <w:p>
      <w:pPr>
        <w:pStyle w:val="Heading2"/>
        <w:spacing w:line="360" w:lineRule="auto"/>
        <w:keepNext/>
      </w:pPr>
      <w:r>
        <w:rPr>
          <w:lang w:val="es-CL"/>
        </w:rPr>
        <w:t xml:space="preserve">3.6 Supernovas: mirar cuál curva sigue los datos</w:t>
      </w:r>
    </w:p>
    <w:p>
      <w:pPr>
        <w:pStyle w:val="BodyText"/>
        <w:spacing w:line="360" w:lineRule="auto"/>
      </w:pPr>
      <w:r>
        <w:rPr>
          <w:lang w:val="es-CL"/>
        </w:rPr>
        <w:t xml:space="preserve">Seleccionamos 1.580 mediciones de Pantheon+, al excluir las calibradoras y exigir z &gt; 0,01 (Scolnic et al., 2022; Brout et al., 2022). Son filas de datos, no necesariamente 1.580 objetos distintos. La figura 5a relaciona el corrimiento al rojo con el módulo de distancia; la figura 5b muestra las diferencias respecto de un universo vacío de referencia para distinguir mejor las curvas.</w:t>
      </w:r>
    </w:p>
    <w:p>
      <w:pPr>
        <w:pStyle w:val="BodyText"/>
        <w:spacing w:line="360" w:lineRule="auto"/>
      </w:pPr>
      <w:r>
        <w:rPr>
          <w:lang w:val="es-CL"/>
        </w:rPr>
        <w:t xml:space="preserve">El escenario acelerado obtiene el menor χ², aproximadamente 686, seguido del abierto (817), el crítico (1.331) y el de recolapso (5.702). Con el mismo procedimiento y datos, el primero representa mejor las observaciones entre las alternativas elegidas. No usamos estos valores para declarar una certeza estadística ni para afirmar que hemos descubierto nuevamente la energía oscura.</w:t>
      </w:r>
    </w:p>
    <w:p>
      <w:pPr>
        <w:pStyle w:val="BodyText"/>
        <w:spacing w:line="360" w:lineRule="auto"/>
      </w:pPr>
      <w:r>
        <w:rPr>
          <w:lang w:val="es-CL"/>
        </w:rPr>
        <w:t xml:space="preserve">Publicamos el código, la procedencia de los datos y las pruebas para que se puedan revisar y repetir los cálculos. Además, antes de publicar cambios en la web se ejecutan las pruebas automáticamente. El resultado es un prototipo didáctico que conecta parámetros, predicciones y observaciones.</w:t>
      </w:r>
    </w:p>
    <w:p>
      <w:pPr>
        <w:pStyle w:val="Heading2"/>
        <w:spacing w:line="360" w:lineRule="auto"/>
        <w:keepNext/>
      </w:pPr>
      <w:r>
        <w:rPr>
          <w:lang w:val="es-CL"/>
        </w:rPr>
        <w:t xml:space="preserve">Pies de figura (pendientes de montaje)</w:t>
      </w:r>
    </w:p>
    <w:p>
      <w:pPr>
        <w:pStyle w:val="BodyText"/>
        <w:spacing w:line="360" w:lineRule="auto"/>
      </w:pPr>
      <w:r>
        <w:rPr>
          <w:lang w:val="es-CL"/>
        </w:rPr>
        <w:t xml:space="preserve">Pendiente de montaje: insertar las figuras exportadas de la web. La numeración siguiente es la del informe y no necesita coincidir con los nombres de exportación del simulador.</w:t>
      </w:r>
    </w:p>
    <w:p>
      <w:pPr>
        <w:pStyle w:val="BodyText"/>
        <w:spacing w:line="360" w:lineRule="auto"/>
      </w:pPr>
      <w:r>
        <w:rPr>
          <w:lang w:val="es-CL"/>
        </w:rPr>
        <w:t xml:space="preserve">• </w:t>
      </w:r>
      <w:r>
        <w:rPr>
          <w:lang w:val="es-CL"/>
          <w:b/>
        </w:rPr>
        <w:t xml:space="preserve">Figura 1a.</w:t>
      </w:r>
      <w:r>
        <w:rPr>
          <w:lang w:val="es-CL"/>
        </w:rPr>
        <w:t xml:space="preserve"> Órbita terrestre durante cinco años, con pasos de 0,01 años. Euler produce una espiral artificial; leapfrog mantiene una trayectoria aproximadamente cerrada. La diferencia proviene del método, no de una fuerza nueva.</w:t>
      </w:r>
    </w:p>
    <w:p>
      <w:pPr>
        <w:pStyle w:val="BodyText"/>
        <w:spacing w:line="360" w:lineRule="auto"/>
      </w:pPr>
      <w:r>
        <w:rPr>
          <w:lang w:val="es-CL"/>
        </w:rPr>
        <w:t xml:space="preserve">• </w:t>
      </w:r>
      <w:r>
        <w:rPr>
          <w:lang w:val="es-CL"/>
          <w:b/>
        </w:rPr>
        <w:t xml:space="preserve">Figura 1b.</w:t>
      </w:r>
      <w:r>
        <w:rPr>
          <w:lang w:val="es-CL"/>
        </w:rPr>
        <w:t xml:space="preserve"> Error relativo de energía en la misma comparación de cinco años y pasos de 0,01 años. Con Euler llega al 57,6 %; leapfrog presenta un error mucho menor. La prueba de 100 órbitas con pasos de 0,001 años es una comprobación distinta, no la corrida de esta figura.</w:t>
      </w:r>
    </w:p>
    <w:p>
      <w:pPr>
        <w:pStyle w:val="BodyText"/>
        <w:spacing w:line="360" w:lineRule="auto"/>
      </w:pPr>
      <w:r>
        <w:rPr>
          <w:lang w:val="es-CL"/>
        </w:rPr>
        <w:t xml:space="preserve">• </w:t>
      </w:r>
      <w:r>
        <w:rPr>
          <w:lang w:val="es-CL"/>
          <w:b/>
        </w:rPr>
        <w:t xml:space="preserve">Figura 2.</w:t>
      </w:r>
      <w:r>
        <w:rPr>
          <w:lang w:val="es-CL"/>
        </w:rPr>
        <w:t xml:space="preserve"> Período T frente al semieje mayor a para los ocho planetas, en ejes logarítmicos. Los puntos siguen la relación de Kepler T²/a³ ≈ 1 con diferencias menores que 0,1 % en las unidades adoptadas.</w:t>
      </w:r>
    </w:p>
    <w:p>
      <w:pPr>
        <w:pStyle w:val="BodyText"/>
        <w:spacing w:line="360" w:lineRule="auto"/>
      </w:pPr>
      <w:r>
        <w:rPr>
          <w:lang w:val="es-CL"/>
        </w:rPr>
        <w:t xml:space="preserve">• </w:t>
      </w:r>
      <w:r>
        <w:rPr>
          <w:lang w:val="es-CL"/>
          <w:b/>
        </w:rPr>
        <w:t xml:space="preserve">Figura 3.</w:t>
      </w:r>
      <w:r>
        <w:rPr>
          <w:lang w:val="es-CL"/>
        </w:rPr>
        <w:t xml:space="preserve"> Rotación de NGC 3198: datos de SPARC y predicciones con materia visible, halo y ambas contribuciones. En la región exterior, la materia visible predice unos 65 km/s frente a cerca de 150 km/s observados; el halo mejora el acuerdo (Lelli et al., 2016).</w:t>
      </w:r>
    </w:p>
    <w:p>
      <w:pPr>
        <w:pStyle w:val="BodyText"/>
        <w:spacing w:line="360" w:lineRule="auto"/>
      </w:pPr>
      <w:r>
        <w:rPr>
          <w:lang w:val="es-CL"/>
        </w:rPr>
        <w:t xml:space="preserve">• </w:t>
      </w:r>
      <w:r>
        <w:rPr>
          <w:lang w:val="es-CL"/>
          <w:b/>
        </w:rPr>
        <w:t xml:space="preserve">Figura 4.</w:t>
      </w:r>
      <w:r>
        <w:rPr>
          <w:lang w:val="es-CL"/>
        </w:rPr>
        <w:t xml:space="preserve"> Factor de escala a(t) para los escenarios crítico, abierto, acelerado y de recolapso. Con H₀ = 67,4 km/s/Mpc, los tres primeros tienen edades de 9,67, 11,7 y 13,86 Gyr, respectivamente. Las curvas permiten comparar cómo cambian la historia y el futuro de la expansión.</w:t>
      </w:r>
    </w:p>
    <w:p>
      <w:pPr>
        <w:pStyle w:val="BodyText"/>
        <w:spacing w:line="360" w:lineRule="auto"/>
      </w:pPr>
      <w:r>
        <w:rPr>
          <w:lang w:val="es-CL"/>
        </w:rPr>
        <w:t xml:space="preserve">• </w:t>
      </w:r>
      <w:r>
        <w:rPr>
          <w:lang w:val="es-CL"/>
          <w:b/>
        </w:rPr>
        <w:t xml:space="preserve">Figura 5a.</w:t>
      </w:r>
      <w:r>
        <w:rPr>
          <w:lang w:val="es-CL"/>
        </w:rPr>
        <w:t xml:space="preserve"> Corrimiento al rojo y módulo de distancia de las 1.580 mediciones seleccionadas de Pantheon+, junto con los cuatro modelos. El escenario acelerado tiene el menor χ² entre las alternativas comparadas (Scolnic et al., 2022; Brout et al., 2022).</w:t>
      </w:r>
    </w:p>
    <w:p>
      <w:pPr>
        <w:pStyle w:val="BodyText"/>
        <w:spacing w:line="360" w:lineRule="auto"/>
      </w:pPr>
      <w:r>
        <w:rPr>
          <w:lang w:val="es-CL"/>
        </w:rPr>
        <w:t xml:space="preserve">• </w:t>
      </w:r>
      <w:r>
        <w:rPr>
          <w:lang w:val="es-CL"/>
          <w:b/>
        </w:rPr>
        <w:t xml:space="preserve">Figura 5b.</w:t>
      </w:r>
      <w:r>
        <w:rPr>
          <w:lang w:val="es-CL"/>
        </w:rPr>
        <w:t xml:space="preserve"> Diferencias de los datos y los modelos respecto de un universo vacío de referencia. Restar esa curva hace más visibles las diferencias entre escenarios; no constituye por sí solo una prueba estadística de aceleración.</w:t>
      </w:r>
    </w:p>
    <w:p>
      <w:pPr>
        <w:pStyle w:val="BodyText"/>
        <w:spacing w:line="360" w:lineRule="auto"/>
      </w:pPr>
      <w:r>
        <w:rPr>
          <w:lang w:val="es-CL"/>
        </w:rPr>
        <w:t xml:space="preserve">El esquema de recorrido del cálculo está incluido en la sección 3.1. No se anuncia una imagen de arquitectura adicional que todavía no existe.</w:t>
      </w:r>
    </w:p>
    <w:p>
      <w:pPr>
        <w:pStyle w:val="Heading1"/>
        <w:spacing w:line="360" w:lineRule="auto"/>
        <w:keepNext/>
      </w:pPr>
      <w:r>
        <w:rPr>
          <w:lang w:val="es-CL"/>
        </w:rPr>
        <w:t xml:space="preserve">4. Discusión Crítica e Impacto</w:t>
      </w:r>
    </w:p>
    <w:p>
      <w:pPr>
        <w:pStyle w:val="Heading2"/>
        <w:spacing w:line="360" w:lineRule="auto"/>
        <w:keepNext/>
      </w:pPr>
      <w:r>
        <w:rPr>
          <w:lang w:val="es-CL"/>
        </w:rPr>
        <w:t xml:space="preserve">4.1 Una figura convincente también puede estar equivocada</w:t>
      </w:r>
    </w:p>
    <w:p>
      <w:pPr>
        <w:pStyle w:val="BodyText"/>
        <w:spacing w:line="360" w:lineRule="auto"/>
      </w:pPr>
      <w:r>
        <w:rPr>
          <w:lang w:val="es-CL"/>
        </w:rPr>
        <w:t xml:space="preserve">La espiral de Euler resume un aprendizaje del proyecto: el computador puede ejecutar correctamente las instrucciones y aun así producir una mala aproximación física. Por eso necesitamos comparar con casos conocidos, repetir cálculos con pasos menores y revisar cantidades como la energía. La conservación de energía es una propiedad del modelo físico; el método numérico solo la reproduce con cierto error.</w:t>
      </w:r>
    </w:p>
    <w:p>
      <w:pPr>
        <w:pStyle w:val="BodyText"/>
        <w:spacing w:line="360" w:lineRule="auto"/>
      </w:pPr>
      <w:r>
        <w:rPr>
          <w:lang w:val="es-CL"/>
        </w:rPr>
        <w:t xml:space="preserve">Este cuidado se relaciona con la clase 4: un modelo debe contrastarse con evidencia y admitir revisión (</w:t>
      </w:r>
      <w:r>
        <w:rPr>
          <w:lang w:val="es-CL"/>
          <w:i/>
        </w:rPr>
        <w:t xml:space="preserve">Modelos de Universo</w:t>
      </w:r>
      <w:r>
        <w:rPr>
          <w:lang w:val="es-CL"/>
        </w:rPr>
        <w:t xml:space="preserve">, s. f.). Las pruebas ayudan a detectar fallas del cálculo, mientras que las observaciones permiten evaluar si el modelo sirve para describir el sistema real. Son controles distintos y necesitamos ambos.</w:t>
      </w:r>
    </w:p>
    <w:p>
      <w:pPr>
        <w:pStyle w:val="Heading2"/>
        <w:spacing w:line="360" w:lineRule="auto"/>
        <w:keepNext/>
      </w:pPr>
      <w:r>
        <w:rPr>
          <w:lang w:val="es-CL"/>
        </w:rPr>
        <w:t xml:space="preserve">4.2 Qué significa el ajuste de materia oscura</w:t>
      </w:r>
    </w:p>
    <w:p>
      <w:pPr>
        <w:pStyle w:val="BodyText"/>
        <w:spacing w:line="360" w:lineRule="auto"/>
      </w:pPr>
      <w:r>
        <w:rPr>
          <w:lang w:val="es-CL"/>
        </w:rPr>
        <w:t xml:space="preserve">El halo mejora la curva de NGC 3198, pero su buen ajuste no descarta por sí solo otras explicaciones. Por ejemplo, MOND propone modificar la descripción de la gravedad cuando las aceleraciones son muy pequeñas (Milgrom, 1983). No implementamos esa alternativa, así que no podemos compararla directamente con nuestro resultado.</w:t>
      </w:r>
    </w:p>
    <w:p>
      <w:pPr>
        <w:pStyle w:val="BodyText"/>
        <w:spacing w:line="360" w:lineRule="auto"/>
      </w:pPr>
      <w:r>
        <w:rPr>
          <w:lang w:val="es-CL"/>
        </w:rPr>
        <w:t xml:space="preserve">La discusión sobre materia oscura se apoya en evidencias independientes. Incluye el movimiento de galaxias en cúmulos, estudiado por Zwicky (1933), y las lentes gravitacionales: la desviación de la luz permite inferir masa sin depender únicamente de la luz emitida. El Cúmulo Bala aporta un caso importante de esa comparación (Clowe et al., 2006). Nuestro prototipo ilustra una parte del problema, no toda la evidencia ni la identidad de la materia oscura.</w:t>
      </w:r>
    </w:p>
    <w:p>
      <w:pPr>
        <w:pStyle w:val="Heading2"/>
        <w:spacing w:line="360" w:lineRule="auto"/>
        <w:keepNext/>
      </w:pPr>
      <w:r>
        <w:rPr>
          <w:lang w:val="es-CL"/>
        </w:rPr>
        <w:t xml:space="preserve">4.3 Límites que importan para interpretar los resultados</w:t>
      </w:r>
    </w:p>
    <w:p>
      <w:pPr>
        <w:pStyle w:val="BodyText"/>
        <w:spacing w:line="360" w:lineRule="auto"/>
      </w:pPr>
      <w:r>
        <w:rPr>
          <w:lang w:val="es-CL"/>
        </w:rPr>
        <w:t xml:space="preserve">Usamos modelos simplificados: los planetas no se atraen entre sí, la galaxia se trata de manera simétrica y la cosmología ignora la radiación. Por ello no pretendemos representar encuentros planetarios ni las primeras etapas del Universo. Aunque parte del razonamiento se puede motivar con Newton, el tratamiento cosmológico y la propagación de la luz requieren relatividad general (Ryden, 2016).</w:t>
      </w:r>
    </w:p>
    <w:p>
      <w:pPr>
        <w:pStyle w:val="BodyText"/>
        <w:spacing w:line="360" w:lineRule="auto"/>
      </w:pPr>
      <w:r>
        <w:rPr>
          <w:lang w:val="es-CL"/>
        </w:rPr>
        <w:t xml:space="preserve">Para las supernovas consideramos las incertidumbres individuales, pero no sus correlaciones, es decir, los errores compartidos entre mediciones. Además, permitimos un desplazamiento de calibración al comparar las curvas. Esto limita el alcance del χ²: sirve para nuestra comparación, no para sustituir el análisis completo de Pantheon+.</w:t>
      </w:r>
    </w:p>
    <w:p>
      <w:pPr>
        <w:pStyle w:val="BodyText"/>
        <w:spacing w:line="360" w:lineRule="auto"/>
      </w:pPr>
      <w:r>
        <w:rPr>
          <w:lang w:val="es-CL"/>
        </w:rPr>
        <w:t xml:space="preserve">Suponemos también que la energía oscura es constante. DESI Collaboration (2025) ha presentado indicios de que podría variar, cuyo alcance depende de los datos combinados. Es una pregunta abierta que nuestro modelo no resuelve. Distinguir entre una hipótesis útil y un hecho establecido es parte del uso responsable de la herramienta.</w:t>
      </w:r>
    </w:p>
    <w:p>
      <w:pPr>
        <w:pStyle w:val="Heading2"/>
        <w:spacing w:line="360" w:lineRule="auto"/>
        <w:keepNext/>
      </w:pPr>
      <w:r>
        <w:rPr>
          <w:lang w:val="es-CL"/>
        </w:rPr>
        <w:t xml:space="preserve">4.4 Cambiar un parámetro para entender una pregunta actual</w:t>
      </w:r>
    </w:p>
    <w:p>
      <w:pPr>
        <w:pStyle w:val="BodyText"/>
        <w:spacing w:line="360" w:lineRule="auto"/>
      </w:pPr>
      <w:r>
        <w:rPr>
          <w:lang w:val="es-CL"/>
        </w:rPr>
        <w:t xml:space="preserve">La tensión de Hubble es la diferencia entre valores de H₀ obtenidos por métodos distintos. Como referencias usamos aproximadamente 73 km/s/Mpc para la escalera de distancias y 67,4 para la inferencia a partir del fondo cósmico de microondas (Riess et al., 2022; Planck Collaboration, 2020).</w:t>
      </w:r>
    </w:p>
    <w:p>
      <w:pPr>
        <w:pStyle w:val="BodyText"/>
        <w:spacing w:line="360" w:lineRule="auto"/>
      </w:pPr>
      <w:r>
        <w:rPr>
          <w:lang w:val="es-CL"/>
        </w:rPr>
        <w:t xml:space="preserve">En el escenario acelerado del simulador, cambiar de 67,4 a 73 reduce la edad de 13,86 a unos 12,8 Gyr, manteniendo los demás parámetros. Esto permite ver por qué una diferencia en la expansión actual tiene consecuencias para la historia calculada. No es una solución a la tensión: cada medición requiere su propio análisis.</w:t>
      </w:r>
    </w:p>
    <w:p>
      <w:pPr>
        <w:pStyle w:val="BodyText"/>
        <w:spacing w:line="360" w:lineRule="auto"/>
      </w:pPr>
      <w:r>
        <w:rPr>
          <w:lang w:val="es-CL"/>
        </w:rPr>
        <w:t xml:space="preserve">Las edades de estrellas antiguas ofrecen otro contraste, porque el Universo debe ser más viejo que ellas. Valcin et al. (2020) estiman unos 13,3 Gyr para los cúmulos globulares más antiguos, con incertidumbres relevantes. Esta comparación motiva revisar los escenarios demasiado jóvenes, pero no la convertimos en una prueba definitiva basada en un solo número.</w:t>
      </w:r>
    </w:p>
    <w:p>
      <w:pPr>
        <w:pStyle w:val="Heading2"/>
        <w:spacing w:line="360" w:lineRule="auto"/>
        <w:keepNext/>
      </w:pPr>
      <w:r>
        <w:rPr>
          <w:lang w:val="es-CL"/>
        </w:rPr>
        <w:t xml:space="preserve">4.5 Utilidad educativa e impacto</w:t>
      </w:r>
    </w:p>
    <w:p>
      <w:pPr>
        <w:pStyle w:val="BodyText"/>
        <w:spacing w:line="360" w:lineRule="auto"/>
      </w:pPr>
      <w:r>
        <w:rPr>
          <w:lang w:val="es-CL"/>
        </w:rPr>
        <w:t xml:space="preserve">La web permite pasar de una afirmación a una pregunta comprobable: ¿qué cambia si solo incluimos materia visible?, ¿qué ocurre si aumentamos H₀?, ¿la órbita cambia por la física o por el método? Ese recorrido fomenta el pensamiento crítico sin exigir que la persona programe o siga todas las derivaciones.</w:t>
      </w:r>
    </w:p>
    <w:p>
      <w:pPr>
        <w:pStyle w:val="BodyText"/>
        <w:spacing w:line="360" w:lineRule="auto"/>
      </w:pPr>
      <w:r>
        <w:rPr>
          <w:lang w:val="es-CL"/>
        </w:rPr>
        <w:t xml:space="preserve">Su aporte no es un descubrimiento astronómico nuevo, sino hacer visibles las decisiones detrás de una simulación. Al publicar código, datos y pruebas, facilitamos que otras personas revisen los mismos pasos. Aun así, usar la herramienta no reemplaza consultar las fuentes ni evaluar las incertidumbres: una visualización ayuda a entender un argumento, pero no lo demuestra por sí sola.</w:t>
      </w:r>
    </w:p>
    <w:p>
      <w:pPr>
        <w:pStyle w:val="Heading1"/>
        <w:spacing w:line="360" w:lineRule="auto"/>
        <w:keepNext/>
      </w:pPr>
      <w:r>
        <w:rPr>
          <w:lang w:val="es-CL"/>
        </w:rPr>
        <w:t xml:space="preserve">5. Conclusiones y Referencias</w:t>
      </w:r>
    </w:p>
    <w:p>
      <w:pPr>
        <w:pStyle w:val="Heading2"/>
        <w:spacing w:line="360" w:lineRule="auto"/>
        <w:keepNext/>
      </w:pPr>
      <w:r>
        <w:rPr>
          <w:lang w:val="es-CL"/>
        </w:rPr>
        <w:t xml:space="preserve">5.1 Conclusiones</w:t>
      </w:r>
    </w:p>
    <w:p>
      <w:pPr>
        <w:pStyle w:val="BodyText"/>
        <w:spacing w:line="360" w:lineRule="auto"/>
      </w:pPr>
      <w:r>
        <w:rPr>
          <w:lang w:val="es-CL"/>
        </w:rPr>
        <w:t xml:space="preserve">Con este proyecto pudimos usar herramientas de computación para explorar contenidos de astronomía que vimos en clases. En el Sistema Solar, el programa reproduce la relación de Kepler entre período y tamaño de la órbita y muestra cómo un método numérico puede producir una espiral artificial. En NGC 3198, la materia visible no explica por sí sola la rotación observada bajo los supuestos del modelo. En cosmología, el escenario acelerado tiene una edad cercana a 13,8 Gyr y representa mejor las mediciones de Pantheon+ entre las alternativas comparadas.</w:t>
      </w:r>
    </w:p>
    <w:p>
      <w:pPr>
        <w:pStyle w:val="BodyText"/>
        <w:spacing w:line="360" w:lineRule="auto"/>
      </w:pPr>
      <w:r>
        <w:rPr>
          <w:lang w:val="es-CL"/>
        </w:rPr>
        <w:t xml:space="preserve">El aprendizaje central es distinguir tres tareas: calcular una predicción, comprobar el programa y contrastar el modelo con datos. Ninguna reemplaza a las otras. La herramienta es didáctica y sus simplificaciones limitan lo que podemos concluir sobre la materia y la energía oscuras.</w:t>
      </w:r>
    </w:p>
    <w:p>
      <w:pPr>
        <w:pStyle w:val="BodyText"/>
        <w:spacing w:line="360" w:lineRule="auto"/>
      </w:pPr>
      <w:r>
        <w:rPr>
          <w:lang w:val="es-CL"/>
          <w:b/>
        </w:rPr>
        <w:t xml:space="preserve">Aprendizaje colaborativo.</w:t>
      </w:r>
      <w:r>
        <w:rPr>
          <w:lang w:val="es-CL"/>
        </w:rPr>
        <w:t xml:space="preserve"> </w:t>
      </w:r>
      <w:r>
        <w:rPr>
          <w:lang w:val="es-CL"/>
          <w:rFonts w:ascii="Courier New" w:hAnsi="Courier New"/>
        </w:rPr>
        <w:t xml:space="preserve">[Luis: 3–4 líneas propias sobre cómo se repartieron el trabajo (código y numérica frente a astronomía, datos y redacción) y qué aprendió cada uno del área del otro. Luis las dictará.]</w:t>
      </w:r>
    </w:p>
    <w:p>
      <w:pPr>
        <w:pStyle w:val="BodyText"/>
        <w:spacing w:line="360" w:lineRule="auto"/>
      </w:pPr>
      <w:r>
        <w:rPr>
          <w:lang w:val="es-CL"/>
        </w:rPr>
        <w:t xml:space="preserve">Como trabajo futuro proponemos incorporar las relaciones entre los errores de las supernovas y explorar una energía oscura variable. También sería útil probar la herramienta con estudiantes para saber si realmente ayuda a comprender las diferencias entre modelos.</w:t>
      </w:r>
    </w:p>
    <w:p>
      <w:pPr>
        <w:pStyle w:val="Heading2"/>
        <w:spacing w:line="360" w:lineRule="auto"/>
        <w:keepNext/>
      </w:pPr>
      <w:r>
        <w:rPr>
          <w:lang w:val="es-CL"/>
        </w:rPr>
        <w:t xml:space="preserve">5.2 Declaración de uso de herramientas de IA</w:t>
      </w:r>
    </w:p>
    <w:p>
      <w:pPr>
        <w:pStyle w:val="BodyText"/>
        <w:spacing w:line="360" w:lineRule="auto"/>
      </w:pPr>
      <w:r>
        <w:rPr>
          <w:lang w:val="es-CL"/>
        </w:rPr>
        <w:t xml:space="preserve">Para este trabajo usamos asistentes de IA como apoyo a la redacción, la revisión de fuentes y el desarrollo del código. José escribió el motor numérico y el Sistema Solar. Las funciones de Universo, Supernovas y Galaxia se desarrollaron con asistencia de Claude (Anthropic) el 31 de octubre de 2026. La revisión del lenguaje y del nivel técnico del informe también contó con apoyo de un modelo GPT de OpenAI mediante OpenCode. El código cuenta con pruebas de física escritas antes de las implementaciones asistidas; estas comprueban resultados específicos, no toda la validez del modelo. </w:t>
      </w:r>
      <w:r>
        <w:rPr>
          <w:lang w:val="es-CL"/>
          <w:rFonts w:ascii="Courier New" w:hAnsi="Courier New"/>
        </w:rPr>
        <w:t xml:space="preserve">[José y Luis: confirmar la revisión personal de los resultados y las fuentes, y aprobar o ajustar esta declaración antes de entregar.]</w:t>
      </w:r>
    </w:p>
    <w:p>
      <w:pPr>
        <w:pStyle w:val="Heading2"/>
        <w:bidi w:val="0"/>
        <w:rPr/>
      </w:pPr>
      <w:r>
        <w:rPr/>
        <w:t>5.3 Referencias (APA 7)</w:t>
      </w:r>
    </w:p>
    <w:p>
      <w:pPr>
        <w:pStyle w:val="Heading2"/>
        <w:spacing w:line="360" w:lineRule="auto"/>
      </w:pPr>
      <w:r>
        <w:rPr>
          <w:rFonts w:ascii="Times New Roman" w:hAnsi="Times New Roman"/>
          <w:sz w:val="24"/>
          <w:lang w:val="es-CL"/>
        </w:rPr>
        <w:t xml:space="preserve">Referencias académicas</w:t>
      </w:r>
    </w:p>
    <w:p>
      <w:pPr>
        <w:pStyle w:val="BodyText"/>
        <w:spacing w:line="360" w:lineRule="auto"/>
        <w:ind w:left="720" w:hanging="720"/>
      </w:pPr>
      <w:r>
        <w:rPr>
          <w:rFonts w:ascii="Times New Roman" w:hAnsi="Times New Roman"/>
          <w:sz w:val="24"/>
          <w:lang w:val="es-CL"/>
        </w:rPr>
        <w:t xml:space="preserve">Brout, D., Scolnic, D., Popovic, B., Riess, A. G., Carr, A., Zuntz, J., Kessler, R., Davis, T. M., Hinton, S., Jones, D., Kenworthy, W. D., Peterson, E. R., Said, K., Taylor, G., Ali, N., Armstrong, P., Charvu, P., Dwomoh, A., Meldorf, C., … Wiseman, P. (2022). The Pantheon+ analysis: Cosmological constraints. </w:t>
      </w:r>
      <w:r>
        <w:rPr>
          <w:rFonts w:ascii="Times New Roman" w:hAnsi="Times New Roman"/>
          <w:sz w:val="24"/>
          <w:lang w:val="es-CL"/>
          <w:i/>
        </w:rPr>
        <w:t xml:space="preserve">The Astrophysical Journal, 938</w:t>
      </w:r>
      <w:r>
        <w:rPr>
          <w:rFonts w:ascii="Times New Roman" w:hAnsi="Times New Roman"/>
          <w:sz w:val="24"/>
          <w:lang w:val="es-CL"/>
        </w:rPr>
        <w:t xml:space="preserve">(2), Artículo 110. https://doi.org/10.3847/1538-4357/ac8e04</w:t>
      </w:r>
    </w:p>
    <w:p>
      <w:pPr>
        <w:pStyle w:val="BodyText"/>
        <w:spacing w:line="360" w:lineRule="auto"/>
        <w:ind w:left="720" w:hanging="720"/>
      </w:pPr>
      <w:r>
        <w:rPr>
          <w:rFonts w:ascii="Times New Roman" w:hAnsi="Times New Roman"/>
          <w:sz w:val="24"/>
          <w:lang w:val="es-CL"/>
        </w:rPr>
        <w:t xml:space="preserve">Clowe, D., Bradač, M., Gonzalez, A. H., Markevitch, M., Randall, S. W., Jones, C., &amp; Zaritsky, D. (2006). A direct empirical proof of the existence of dark matter. </w:t>
      </w:r>
      <w:r>
        <w:rPr>
          <w:rFonts w:ascii="Times New Roman" w:hAnsi="Times New Roman"/>
          <w:sz w:val="24"/>
          <w:lang w:val="es-CL"/>
          <w:i/>
        </w:rPr>
        <w:t xml:space="preserve">The Astrophysical Journal, 648</w:t>
      </w:r>
      <w:r>
        <w:rPr>
          <w:rFonts w:ascii="Times New Roman" w:hAnsi="Times New Roman"/>
          <w:sz w:val="24"/>
          <w:lang w:val="es-CL"/>
        </w:rPr>
        <w:t xml:space="preserve">(2), L109–L113. https://doi.org/10.1086/508162</w:t>
      </w:r>
    </w:p>
    <w:p>
      <w:pPr>
        <w:pStyle w:val="BodyText"/>
        <w:spacing w:line="360" w:lineRule="auto"/>
        <w:ind w:left="720" w:hanging="720"/>
      </w:pPr>
      <w:r>
        <w:rPr>
          <w:rFonts w:ascii="Times New Roman" w:hAnsi="Times New Roman"/>
          <w:sz w:val="24"/>
          <w:lang w:val="es-CL"/>
        </w:rPr>
        <w:t xml:space="preserve">DESI Collaboration. (2025). DESI DR2 results. II. Measurements of baryon acoustic oscillations and cosmological constraints. </w:t>
      </w:r>
      <w:r>
        <w:rPr>
          <w:rFonts w:ascii="Times New Roman" w:hAnsi="Times New Roman"/>
          <w:sz w:val="24"/>
          <w:lang w:val="es-CL"/>
          <w:i/>
        </w:rPr>
        <w:t xml:space="preserve">Physical Review D, 112</w:t>
      </w:r>
      <w:r>
        <w:rPr>
          <w:rFonts w:ascii="Times New Roman" w:hAnsi="Times New Roman"/>
          <w:sz w:val="24"/>
          <w:lang w:val="es-CL"/>
        </w:rPr>
        <w:t xml:space="preserve">(8), Artículo 083515. https://doi.org/10.1103/tr6y-kpc6</w:t>
      </w:r>
    </w:p>
    <w:p>
      <w:pPr>
        <w:pStyle w:val="BodyText"/>
        <w:spacing w:line="360" w:lineRule="auto"/>
        <w:ind w:left="720" w:hanging="720"/>
      </w:pPr>
      <w:r>
        <w:rPr>
          <w:rFonts w:ascii="Times New Roman" w:hAnsi="Times New Roman"/>
          <w:sz w:val="24"/>
          <w:lang w:val="es-CL"/>
        </w:rPr>
        <w:t xml:space="preserve">Hairer, E., Lubich, C., &amp; Wanner, G. (2003). Geometric numerical integration illustrated by the Störmer–Verlet method. </w:t>
      </w:r>
      <w:r>
        <w:rPr>
          <w:rFonts w:ascii="Times New Roman" w:hAnsi="Times New Roman"/>
          <w:sz w:val="24"/>
          <w:lang w:val="es-CL"/>
          <w:i/>
        </w:rPr>
        <w:t xml:space="preserve">Acta Numerica, 12</w:t>
      </w:r>
      <w:r>
        <w:rPr>
          <w:rFonts w:ascii="Times New Roman" w:hAnsi="Times New Roman"/>
          <w:sz w:val="24"/>
          <w:lang w:val="es-CL"/>
        </w:rPr>
        <w:t xml:space="preserve">, 399–450. https://doi.org/10.1017/S0962492902000144</w:t>
      </w:r>
    </w:p>
    <w:p>
      <w:pPr>
        <w:pStyle w:val="BodyText"/>
        <w:spacing w:line="360" w:lineRule="auto"/>
        <w:ind w:left="720" w:hanging="720"/>
      </w:pPr>
      <w:r>
        <w:rPr>
          <w:rFonts w:ascii="Times New Roman" w:hAnsi="Times New Roman"/>
          <w:sz w:val="24"/>
          <w:lang w:val="es-CL"/>
        </w:rPr>
        <w:t xml:space="preserve">Harris, C. R., Millman, K. J., van der Walt, S. J., Gommers, R., Virtanen, P., Cournapeau, D., Wieser, E., Taylor, J., Berg, S., Smith, N. J., Kern, R., Picus, M., Hoyer, S., van Kerkwijk, M. H., Brett, M., Haldane, A., Fernández del Río, J., Wiebe, M., Peterson, P., … Oliphant, T. E. (2020). Array programming with NumPy. </w:t>
      </w:r>
      <w:r>
        <w:rPr>
          <w:rFonts w:ascii="Times New Roman" w:hAnsi="Times New Roman"/>
          <w:sz w:val="24"/>
          <w:lang w:val="es-CL"/>
          <w:i/>
        </w:rPr>
        <w:t xml:space="preserve">Nature, 585</w:t>
      </w:r>
      <w:r>
        <w:rPr>
          <w:rFonts w:ascii="Times New Roman" w:hAnsi="Times New Roman"/>
          <w:sz w:val="24"/>
          <w:lang w:val="es-CL"/>
        </w:rPr>
        <w:t xml:space="preserve">(7825), 357–362. https://doi.org/10.1038/s41586-020-2649-2</w:t>
      </w:r>
    </w:p>
    <w:p>
      <w:pPr>
        <w:pStyle w:val="BodyText"/>
        <w:spacing w:line="360" w:lineRule="auto"/>
        <w:ind w:left="720" w:hanging="720"/>
      </w:pPr>
      <w:r>
        <w:rPr>
          <w:rFonts w:ascii="Times New Roman" w:hAnsi="Times New Roman"/>
          <w:sz w:val="24"/>
          <w:lang w:val="es-CL"/>
        </w:rPr>
        <w:t xml:space="preserve">Lelli, F., McGaugh, S. S., &amp; Schombert, J. M. (2016). SPARC: Mass models for 175 disk galaxies with Spitzer photometry and accurate rotation curves. </w:t>
      </w:r>
      <w:r>
        <w:rPr>
          <w:rFonts w:ascii="Times New Roman" w:hAnsi="Times New Roman"/>
          <w:sz w:val="24"/>
          <w:lang w:val="es-CL"/>
          <w:i/>
        </w:rPr>
        <w:t xml:space="preserve">The Astronomical Journal, 152</w:t>
      </w:r>
      <w:r>
        <w:rPr>
          <w:rFonts w:ascii="Times New Roman" w:hAnsi="Times New Roman"/>
          <w:sz w:val="24"/>
          <w:lang w:val="es-CL"/>
        </w:rPr>
        <w:t xml:space="preserve">(6), Artículo 157. https://doi.org/10.3847/0004-6256/152/6/157</w:t>
      </w:r>
    </w:p>
    <w:p>
      <w:pPr>
        <w:pStyle w:val="BodyText"/>
        <w:spacing w:line="360" w:lineRule="auto"/>
        <w:ind w:left="720" w:hanging="720"/>
      </w:pPr>
      <w:r>
        <w:rPr>
          <w:rFonts w:ascii="Times New Roman" w:hAnsi="Times New Roman"/>
          <w:sz w:val="24"/>
          <w:lang w:val="es-CL"/>
        </w:rPr>
        <w:t xml:space="preserve">Milgrom, M. (1983). A modification of the Newtonian dynamics as a possible alternative to the hidden mass hypothesis. </w:t>
      </w:r>
      <w:r>
        <w:rPr>
          <w:rFonts w:ascii="Times New Roman" w:hAnsi="Times New Roman"/>
          <w:sz w:val="24"/>
          <w:lang w:val="es-CL"/>
          <w:i/>
        </w:rPr>
        <w:t xml:space="preserve">The Astrophysical Journal, 270</w:t>
      </w:r>
      <w:r>
        <w:rPr>
          <w:rFonts w:ascii="Times New Roman" w:hAnsi="Times New Roman"/>
          <w:sz w:val="24"/>
          <w:lang w:val="es-CL"/>
        </w:rPr>
        <w:t xml:space="preserve">, 365. https://doi.org/10.1086/161130</w:t>
      </w:r>
    </w:p>
    <w:p>
      <w:pPr>
        <w:pStyle w:val="BodyText"/>
        <w:spacing w:line="360" w:lineRule="auto"/>
        <w:ind w:left="720" w:hanging="720"/>
      </w:pPr>
      <w:r>
        <w:rPr>
          <w:rFonts w:ascii="Times New Roman" w:hAnsi="Times New Roman"/>
          <w:sz w:val="24"/>
          <w:lang w:val="es-CL"/>
        </w:rPr>
        <w:t xml:space="preserve">Planck Collaboration. (2020). Planck 2018 results. VI. Cosmological parameters. </w:t>
      </w:r>
      <w:r>
        <w:rPr>
          <w:rFonts w:ascii="Times New Roman" w:hAnsi="Times New Roman"/>
          <w:sz w:val="24"/>
          <w:lang w:val="es-CL"/>
          <w:i/>
        </w:rPr>
        <w:t xml:space="preserve">Astronomy &amp; Astrophysics, 641</w:t>
      </w:r>
      <w:r>
        <w:rPr>
          <w:rFonts w:ascii="Times New Roman" w:hAnsi="Times New Roman"/>
          <w:sz w:val="24"/>
          <w:lang w:val="es-CL"/>
        </w:rPr>
        <w:t xml:space="preserve">, Artículo A6. https://doi.org/10.1051/0004-6361/201833910</w:t>
      </w:r>
    </w:p>
    <w:p>
      <w:pPr>
        <w:pStyle w:val="BodyText"/>
        <w:spacing w:line="360" w:lineRule="auto"/>
        <w:ind w:left="720" w:hanging="720"/>
      </w:pPr>
      <w:r>
        <w:rPr>
          <w:rFonts w:ascii="Times New Roman" w:hAnsi="Times New Roman"/>
          <w:sz w:val="24"/>
          <w:lang w:val="es-CL"/>
        </w:rPr>
        <w:t xml:space="preserve">Riess, A. G., Filippenko, A. V., Challis, P., Clocchiatti, A., Diercks, A., Garnavich, P. M., Gilliland, R. L., Hogan, C. J., Jha, S., Kirshner, R. P., Leibundgut, B., Phillips, M. M., Reiss, D., Schmidt, B. P., Schommer, R. A., Smith, R. C., Spyromilio, J., Stubbs, C., Suntzeff, N. B., &amp; Tonry, J. (1998). Observational evidence from supernovae for an accelerating universe and a cosmological constant. </w:t>
      </w:r>
      <w:r>
        <w:rPr>
          <w:rFonts w:ascii="Times New Roman" w:hAnsi="Times New Roman"/>
          <w:sz w:val="24"/>
          <w:lang w:val="es-CL"/>
          <w:i/>
        </w:rPr>
        <w:t xml:space="preserve">The Astronomical Journal, 116</w:t>
      </w:r>
      <w:r>
        <w:rPr>
          <w:rFonts w:ascii="Times New Roman" w:hAnsi="Times New Roman"/>
          <w:sz w:val="24"/>
          <w:lang w:val="es-CL"/>
        </w:rPr>
        <w:t xml:space="preserve">(3), 1009–1038. https://doi.org/10.1086/300499</w:t>
      </w:r>
    </w:p>
    <w:p>
      <w:pPr>
        <w:pStyle w:val="BodyText"/>
        <w:spacing w:line="360" w:lineRule="auto"/>
        <w:ind w:left="720" w:hanging="720"/>
      </w:pPr>
      <w:r>
        <w:rPr>
          <w:rFonts w:ascii="Times New Roman" w:hAnsi="Times New Roman"/>
          <w:sz w:val="24"/>
          <w:lang w:val="es-CL"/>
        </w:rPr>
        <w:t xml:space="preserve">Riess, A. G., Yuan, W., Macri, L. M., Scolnic, D., Brout, D., Casertano, S., Jones, D. O., Murakami, Y., Anand, G. S., Breuval, L., Brink, T. G., Filippenko, A. V., Hoffmann, S., Jha, S. W., Kenworthy, W. D., MacKenty, J., Stahl, B. E., &amp; Zheng, W. (2022). A comprehensive measurement of the local value of the Hubble constant with 1 km s⁻¹ Mpc⁻¹ uncertainty from the Hubble Space Telescope and the SH0ES team. </w:t>
      </w:r>
      <w:r>
        <w:rPr>
          <w:rFonts w:ascii="Times New Roman" w:hAnsi="Times New Roman"/>
          <w:sz w:val="24"/>
          <w:lang w:val="es-CL"/>
          <w:i/>
        </w:rPr>
        <w:t xml:space="preserve">The Astrophysical Journal Letters, 934</w:t>
      </w:r>
      <w:r>
        <w:rPr>
          <w:rFonts w:ascii="Times New Roman" w:hAnsi="Times New Roman"/>
          <w:sz w:val="24"/>
          <w:lang w:val="es-CL"/>
        </w:rPr>
        <w:t xml:space="preserve">(1), Artículo L7. https://doi.org/10.3847/2041-8213/ac5c5b</w:t>
      </w:r>
    </w:p>
    <w:p>
      <w:pPr>
        <w:pStyle w:val="BodyText"/>
        <w:spacing w:line="360" w:lineRule="auto"/>
        <w:ind w:left="720" w:hanging="720"/>
      </w:pPr>
      <w:r>
        <w:rPr>
          <w:rFonts w:ascii="Times New Roman" w:hAnsi="Times New Roman"/>
          <w:sz w:val="24"/>
          <w:lang w:val="es-CL"/>
        </w:rPr>
        <w:t xml:space="preserve">Rubin, V. C., &amp; Ford, W. K., Jr. (1970). Rotation of the Andromeda Nebula from a spectroscopic survey of emission regions. </w:t>
      </w:r>
      <w:r>
        <w:rPr>
          <w:rFonts w:ascii="Times New Roman" w:hAnsi="Times New Roman"/>
          <w:sz w:val="24"/>
          <w:lang w:val="es-CL"/>
          <w:i/>
        </w:rPr>
        <w:t xml:space="preserve">The Astrophysical Journal, 159</w:t>
      </w:r>
      <w:r>
        <w:rPr>
          <w:rFonts w:ascii="Times New Roman" w:hAnsi="Times New Roman"/>
          <w:sz w:val="24"/>
          <w:lang w:val="es-CL"/>
        </w:rPr>
        <w:t xml:space="preserve">, 379. https://doi.org/10.1086/150317</w:t>
      </w:r>
    </w:p>
    <w:p>
      <w:pPr>
        <w:pStyle w:val="BodyText"/>
        <w:spacing w:line="360" w:lineRule="auto"/>
        <w:ind w:left="720" w:hanging="720"/>
      </w:pPr>
      <w:r>
        <w:rPr>
          <w:rFonts w:ascii="Times New Roman" w:hAnsi="Times New Roman"/>
          <w:sz w:val="24"/>
          <w:lang w:val="es-CL"/>
        </w:rPr>
        <w:t xml:space="preserve">Ryden, B. (2016). </w:t>
      </w:r>
      <w:r>
        <w:rPr>
          <w:rFonts w:ascii="Times New Roman" w:hAnsi="Times New Roman"/>
          <w:sz w:val="24"/>
          <w:lang w:val="es-CL"/>
          <w:i/>
        </w:rPr>
        <w:t xml:space="preserve">Introduction to cosmology</w:t>
      </w:r>
      <w:r>
        <w:rPr>
          <w:rFonts w:ascii="Times New Roman" w:hAnsi="Times New Roman"/>
          <w:sz w:val="24"/>
          <w:lang w:val="es-CL"/>
        </w:rPr>
        <w:t xml:space="preserve"> (2.ª ed.). Cambridge University Press. https://doi.org/10.1017/9781316651087</w:t>
      </w:r>
    </w:p>
    <w:p>
      <w:pPr>
        <w:pStyle w:val="BodyText"/>
        <w:spacing w:line="360" w:lineRule="auto"/>
        <w:ind w:left="720" w:hanging="720"/>
      </w:pPr>
      <w:r>
        <w:rPr>
          <w:rFonts w:ascii="Times New Roman" w:hAnsi="Times New Roman"/>
          <w:sz w:val="24"/>
          <w:lang w:val="es-CL"/>
        </w:rPr>
        <w:t xml:space="preserve">Scolnic, D., Brout, D., Carr, A., Riess, A. G., Davis, T. M., Dwomoh, A., Jones, D. O., Ali, N., Charvu, P., Chen, R., Peterson, E. R., Popovic, B., Rose, B. M., Wood, C. M., Brown, P. J., Chambers, K., Coulter, D. A., Dettman, K. G., Dimitriadis, G., … Zheng, W. (2022). The Pantheon+ analysis: The full data set and light-curve release. </w:t>
      </w:r>
      <w:r>
        <w:rPr>
          <w:rFonts w:ascii="Times New Roman" w:hAnsi="Times New Roman"/>
          <w:sz w:val="24"/>
          <w:lang w:val="es-CL"/>
          <w:i/>
        </w:rPr>
        <w:t xml:space="preserve">The Astrophysical Journal, 938</w:t>
      </w:r>
      <w:r>
        <w:rPr>
          <w:rFonts w:ascii="Times New Roman" w:hAnsi="Times New Roman"/>
          <w:sz w:val="24"/>
          <w:lang w:val="es-CL"/>
        </w:rPr>
        <w:t xml:space="preserve">(2), Artículo 113. https://doi.org/10.3847/1538-4357/ac8b7a</w:t>
      </w:r>
    </w:p>
    <w:p>
      <w:pPr>
        <w:pStyle w:val="BodyText"/>
        <w:spacing w:line="360" w:lineRule="auto"/>
        <w:ind w:left="720" w:hanging="720"/>
      </w:pPr>
      <w:r>
        <w:rPr>
          <w:rFonts w:ascii="Times New Roman" w:hAnsi="Times New Roman"/>
          <w:sz w:val="24"/>
          <w:lang w:val="es-CL"/>
        </w:rPr>
        <w:t xml:space="preserve">Valcin, D., Bernal, J. L., Jimenez, R., Verde, L., &amp; Wandelt, B. D. (2020). Inferring the age of the universe with globular clusters. </w:t>
      </w:r>
      <w:r>
        <w:rPr>
          <w:rFonts w:ascii="Times New Roman" w:hAnsi="Times New Roman"/>
          <w:sz w:val="24"/>
          <w:lang w:val="es-CL"/>
          <w:i/>
        </w:rPr>
        <w:t xml:space="preserve">Journal of Cosmology and Astroparticle Physics, 2020</w:t>
      </w:r>
      <w:r>
        <w:rPr>
          <w:rFonts w:ascii="Times New Roman" w:hAnsi="Times New Roman"/>
          <w:sz w:val="24"/>
          <w:lang w:val="es-CL"/>
        </w:rPr>
        <w:t xml:space="preserve">(12), Artículo 002. https://doi.org/10.1088/1475-7516/2020/12/002</w:t>
      </w:r>
    </w:p>
    <w:p>
      <w:pPr>
        <w:pStyle w:val="BodyText"/>
        <w:spacing w:line="360" w:lineRule="auto"/>
        <w:ind w:left="720" w:hanging="720"/>
      </w:pPr>
      <w:r>
        <w:rPr>
          <w:rFonts w:ascii="Times New Roman" w:hAnsi="Times New Roman"/>
          <w:sz w:val="24"/>
          <w:lang w:val="es-CL"/>
        </w:rPr>
        <w:t xml:space="preserve">Zwicky, F. (1933). Die Rotverschiebung von extragalaktischen Nebeln. </w:t>
      </w:r>
      <w:r>
        <w:rPr>
          <w:rFonts w:ascii="Times New Roman" w:hAnsi="Times New Roman"/>
          <w:sz w:val="24"/>
          <w:lang w:val="es-CL"/>
          <w:i/>
        </w:rPr>
        <w:t xml:space="preserve">Helvetica Physica Acta, 6</w:t>
      </w:r>
      <w:r>
        <w:rPr>
          <w:rFonts w:ascii="Times New Roman" w:hAnsi="Times New Roman"/>
          <w:sz w:val="24"/>
          <w:lang w:val="es-CL"/>
        </w:rPr>
        <w:t xml:space="preserve">, 110–127. https://articles.adsabs.harvard.edu/pdf/1933AcHPh...6..110Z</w:t>
      </w:r>
    </w:p>
    <w:p>
      <w:pPr>
        <w:pStyle w:val="Heading2"/>
        <w:spacing w:line="360" w:lineRule="auto"/>
      </w:pPr>
      <w:r>
        <w:rPr>
          <w:rFonts w:ascii="Times New Roman" w:hAnsi="Times New Roman"/>
          <w:sz w:val="24"/>
          <w:lang w:val="es-CL"/>
        </w:rPr>
        <w:t xml:space="preserve">Datos y documentación de software</w:t>
      </w:r>
    </w:p>
    <w:p>
      <w:pPr>
        <w:pStyle w:val="BodyText"/>
        <w:spacing w:line="360" w:lineRule="auto"/>
        <w:ind w:left="720" w:hanging="720"/>
      </w:pPr>
      <w:r>
        <w:rPr>
          <w:rFonts w:ascii="Times New Roman" w:hAnsi="Times New Roman"/>
          <w:sz w:val="24"/>
          <w:lang w:val="es-CL"/>
        </w:rPr>
        <w:t xml:space="preserve">Plotly Technologies Inc. (s. f.). </w:t>
      </w:r>
      <w:r>
        <w:rPr>
          <w:rFonts w:ascii="Times New Roman" w:hAnsi="Times New Roman"/>
          <w:sz w:val="24"/>
          <w:lang w:val="es-CL"/>
          <w:i/>
        </w:rPr>
        <w:t xml:space="preserve">Plotly.js</w:t>
      </w:r>
      <w:r>
        <w:rPr>
          <w:rFonts w:ascii="Times New Roman" w:hAnsi="Times New Roman"/>
          <w:sz w:val="24"/>
          <w:lang w:val="es-CL"/>
        </w:rPr>
        <w:t xml:space="preserve"> [Documentación de software]. https://plotly.com/javascript/</w:t>
      </w:r>
    </w:p>
    <w:p>
      <w:pPr>
        <w:pStyle w:val="BodyText"/>
        <w:spacing w:line="360" w:lineRule="auto"/>
        <w:ind w:left="720" w:hanging="720"/>
      </w:pPr>
      <w:r>
        <w:rPr>
          <w:rFonts w:ascii="Times New Roman" w:hAnsi="Times New Roman"/>
          <w:sz w:val="24"/>
          <w:lang w:val="es-CL"/>
        </w:rPr>
        <w:t xml:space="preserve">The Pyodide development team. (s. f.). </w:t>
      </w:r>
      <w:r>
        <w:rPr>
          <w:rFonts w:ascii="Times New Roman" w:hAnsi="Times New Roman"/>
          <w:sz w:val="24"/>
          <w:lang w:val="es-CL"/>
          <w:i/>
        </w:rPr>
        <w:t xml:space="preserve">What is Pyodide?</w:t>
      </w:r>
      <w:r>
        <w:rPr>
          <w:rFonts w:ascii="Times New Roman" w:hAnsi="Times New Roman"/>
          <w:sz w:val="24"/>
          <w:lang w:val="es-CL"/>
        </w:rPr>
        <w:t xml:space="preserve"> [Documentación de software]. https://pyodide.org/en/stable/project/about.html</w:t>
      </w:r>
    </w:p>
    <w:p>
      <w:pPr>
        <w:pStyle w:val="BodyText"/>
        <w:spacing w:line="360" w:lineRule="auto"/>
      </w:pPr>
      <w:r>
        <w:rPr>
          <w:rFonts w:ascii="Times New Roman" w:hAnsi="Times New Roman"/>
          <w:sz w:val="24"/>
          <w:lang w:val="es-CL"/>
        </w:rPr>
        <w:t xml:space="preserve">Los datos de SPARC y Pantheon+ se acreditan mediante Lelli et al. (2016), Scolnic et al. (2022), Brout et al. (2022) y Riess et al. (2022).</w:t>
      </w:r>
    </w:p>
    <w:p>
      <w:pPr>
        <w:pStyle w:val="Heading2"/>
        <w:spacing w:line="360" w:lineRule="auto"/>
      </w:pPr>
      <w:r>
        <w:rPr>
          <w:rFonts w:ascii="Times New Roman" w:hAnsi="Times New Roman"/>
          <w:sz w:val="24"/>
          <w:lang w:val="es-CL"/>
        </w:rPr>
        <w:t xml:space="preserve">Material del curso</w:t>
      </w:r>
    </w:p>
    <w:p>
      <w:pPr>
        <w:pStyle w:val="BodyText"/>
        <w:spacing w:line="360" w:lineRule="auto"/>
      </w:pPr>
      <w:r>
        <w:rPr>
          <w:rFonts w:ascii="Times New Roman" w:hAnsi="Times New Roman"/>
          <w:sz w:val="24"/>
          <w:lang w:val="es-CL"/>
        </w:rPr>
        <w:t xml:space="preserve"/>
      </w:r>
      <w:r>
        <w:rPr>
          <w:rFonts w:ascii="Times New Roman" w:hAnsi="Times New Roman"/>
          <w:sz w:val="24"/>
          <w:lang w:val="es-CL"/>
          <w:i/>
        </w:rPr>
        <w:t xml:space="preserve">Cosmología, materia y energía oscura: El universo invisible</w:t>
      </w:r>
      <w:r>
        <w:rPr>
          <w:rFonts w:ascii="Times New Roman" w:hAnsi="Times New Roman"/>
          <w:sz w:val="24"/>
          <w:lang w:val="es-CL"/>
        </w:rPr>
        <w:t xml:space="preserve"> [Diapositivas de la clase 10 de AST101]. (s. f.). Canvas UC, Pontificia Universidad Católica de Chile. https://cursos.canvas.uc.cl/courses/107895/files/16102541</w:t>
      </w:r>
    </w:p>
    <w:p>
      <w:pPr>
        <w:pStyle w:val="BodyText"/>
        <w:spacing w:line="360" w:lineRule="auto"/>
      </w:pPr>
      <w:r>
        <w:rPr>
          <w:rFonts w:ascii="Times New Roman" w:hAnsi="Times New Roman"/>
          <w:sz w:val="24"/>
          <w:lang w:val="es-CL"/>
        </w:rPr>
        <w:t xml:space="preserve"/>
      </w:r>
      <w:r>
        <w:rPr>
          <w:rFonts w:ascii="Times New Roman" w:hAnsi="Times New Roman"/>
          <w:sz w:val="24"/>
          <w:lang w:val="es-CL"/>
          <w:i/>
        </w:rPr>
        <w:t xml:space="preserve">Escalera de distancias</w:t>
      </w:r>
      <w:r>
        <w:rPr>
          <w:rFonts w:ascii="Times New Roman" w:hAnsi="Times New Roman"/>
          <w:sz w:val="24"/>
          <w:lang w:val="es-CL"/>
        </w:rPr>
        <w:t xml:space="preserve"> [Diapositivas de la clase 9 de AST101]. (s. f.). Canvas UC, Pontificia Universidad Católica de Chile. https://cursos.canvas.uc.cl/courses/107895/files/15925639</w:t>
      </w:r>
    </w:p>
    <w:p>
      <w:pPr>
        <w:pStyle w:val="BodyText"/>
        <w:spacing w:line="360" w:lineRule="auto"/>
      </w:pPr>
      <w:r>
        <w:rPr>
          <w:rFonts w:ascii="Times New Roman" w:hAnsi="Times New Roman"/>
          <w:sz w:val="24"/>
          <w:lang w:val="es-CL"/>
        </w:rPr>
        <w:t xml:space="preserve"/>
      </w:r>
      <w:r>
        <w:rPr>
          <w:rFonts w:ascii="Times New Roman" w:hAnsi="Times New Roman"/>
          <w:sz w:val="24"/>
          <w:lang w:val="es-CL"/>
          <w:i/>
        </w:rPr>
        <w:t xml:space="preserve">La consolidación del modelo heliocéntrico: El nacimiento de la astronomía moderna</w:t>
      </w:r>
      <w:r>
        <w:rPr>
          <w:rFonts w:ascii="Times New Roman" w:hAnsi="Times New Roman"/>
          <w:sz w:val="24"/>
          <w:lang w:val="es-CL"/>
        </w:rPr>
        <w:t xml:space="preserve"> [Diapositivas de la clase 5 de AST101]. (s. f.). Canvas UC, Pontificia Universidad Católica de Chile. https://cursos.canvas.uc.cl/courses/107895/files/15867325</w:t>
      </w:r>
    </w:p>
    <w:p>
      <w:pPr>
        <w:pStyle w:val="BodyText"/>
        <w:spacing w:line="360" w:lineRule="auto"/>
      </w:pPr>
      <w:r>
        <w:rPr>
          <w:rFonts w:ascii="Times New Roman" w:hAnsi="Times New Roman"/>
          <w:sz w:val="24"/>
          <w:lang w:val="es-CL"/>
        </w:rPr>
        <w:t xml:space="preserve"/>
      </w:r>
      <w:r>
        <w:rPr>
          <w:rFonts w:ascii="Times New Roman" w:hAnsi="Times New Roman"/>
          <w:sz w:val="24"/>
          <w:lang w:val="es-CL"/>
          <w:i/>
        </w:rPr>
        <w:t xml:space="preserve">Modelos de Universo</w:t>
      </w:r>
      <w:r>
        <w:rPr>
          <w:rFonts w:ascii="Times New Roman" w:hAnsi="Times New Roman"/>
          <w:sz w:val="24"/>
          <w:lang w:val="es-CL"/>
        </w:rPr>
        <w:t xml:space="preserve"> [Diapositivas de la clase 4 de AST101]. (s. f.). Canvas UC, Pontificia Universidad Católica de Chile. https://cursos.canvas.uc.cl/courses/107895/files/15803604</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 w:hAnsi="Times New Roman" w:eastAsia="Times New Roman" w:cs="Times New Roman"/>
      <w:color w:val="auto"/>
      <w:sz w:val="24"/>
      <w:szCs w:val="24"/>
      <w:lang w:val="es-CL" w:eastAsia="zh-CN" w:bidi="hi-IN"/>
    </w:rPr>
  </w:style>
  <w:style w:type="paragraph" w:styleId="Heading1">
    <w:name w:val="heading 1"/>
    <w:basedOn w:val="Heading"/>
    <w:next w:val="BodyText"/>
    <w:qFormat/>
    <w:pPr>
      <w:pageBreakBefore/>
    </w:pPr>
    <w:rPr>
      <w:b/>
      <w:bCs/>
      <w:sz w:val="32"/>
      <w:szCs w:val="32"/>
    </w:rPr>
  </w:style>
  <w:style w:type="paragraph" w:styleId="Heading2">
    <w:name w:val="heading 2"/>
    <w:basedOn w:val="Heading"/>
    <w:next w:val="BodyText"/>
    <w:qFormat/>
    <w:pPr>
      <w:spacing w:before="200" w:after="120"/>
      <w:outlineLvl w:val="1"/>
    </w:pPr>
    <w:rPr>
      <w:rFonts w:ascii="Times New Roman" w:hAnsi="Times New Roman"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sj400.github.io/one-gravity/" TargetMode="External"/><Relationship Id="rId3" Type="http://schemas.openxmlformats.org/officeDocument/2006/relationships/hyperlink" Target="https://github.com/Ssj400/one-gravity" TargetMode="External"/><Relationship Id="rId4" Type="http://schemas.openxmlformats.org/officeDocument/2006/relationships/hyperlink" Target="https://doi.org/10.1086/508162" TargetMode="External"/><Relationship Id="rId5" Type="http://schemas.openxmlformats.org/officeDocument/2006/relationships/hyperlink" Target="https://doi.org/10.1017/S0962492902000144" TargetMode="External"/><Relationship Id="rId6" Type="http://schemas.openxmlformats.org/officeDocument/2006/relationships/hyperlink" Target="https://doi.org/10.3847/0004-6256/152/6/157" TargetMode="External"/><Relationship Id="rId7" Type="http://schemas.openxmlformats.org/officeDocument/2006/relationships/hyperlink" Target="https://doi.org/10.1086/150317" TargetMode="External"/><Relationship Id="rId8" Type="http://schemas.openxmlformats.org/officeDocument/2006/relationships/hyperlink" Target="https://doi.org/10.1088/1475-7516/2020/12/002" TargetMode="External"/><Relationship Id="rId9" Type="http://schemas.openxmlformats.org/officeDocument/2006/relationships/hyperlink" Target="https://doi.org/10.1038/s41586-020-2649-2" TargetMode="External"/><Relationship Id="rId10" Type="http://schemas.openxmlformats.org/officeDocument/2006/relationships/hyperlink" Target="https://pyodide.org/" TargetMode="External"/><Relationship Id="rId11" Type="http://schemas.openxmlformats.org/officeDocument/2006/relationships/hyperlink" Target="https://plotly.com/javascript/"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