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Textos de la página</w:t>
      </w:r>
    </w:p>
    <w:p>
      <w:pPr>
        <w:pStyle w:val="Subtitle"/>
      </w:pPr>
      <w:r>
        <w:t>Una sola gravedad, tres escalas</w:t>
      </w:r>
    </w:p>
    <w:p>
      <w:pPr>
        <w:pStyle w:val="Heading1"/>
      </w:pPr>
      <w:r>
        <w:t>Cómo editar</w:t>
      </w:r>
    </w:p>
    <w:p>
      <w:r>
        <w:t>Este Word contiene los textos de la web. Es independiente del informe: no modifica ni reemplaza el documento de AST101.</w:t>
      </w:r>
    </w:p>
    <w:p>
      <w:r>
        <w:t>Edita directamente los textos bajo cada identificador (por ejemplo, SOL-009). Puedes reescribir frases y agregar o quitar párrafos dentro del mismo bloque. No necesitas editar HTML ni código.</w:t>
      </w:r>
    </w:p>
    <w:p>
      <w:r>
        <w:t>Conserva los identificadores y las marcas amarillas entre ⟦ y ⟧: son valores que calcula o elige el programa, no palabras para reemplazar por números fijos. Puedes mover una marca dentro de su frase, pero no cambiar su nombre.</w:t>
      </w:r>
    </w:p>
    <w:p>
      <w:r>
        <w:t>También están los controles, las tablas, los ejes, las leyendas, los mensajes de carga y los textos accesibles. Algunos rótulos se repiten porque aparecen en lugares distintos. Los nombres de modelos compartidos se definen en Universo y también se usan en Supernovas.</w:t>
      </w:r>
    </w:p>
    <w:p>
      <w:r>
        <w:t>Los bloques de «Texto alternativo» y los que siguen inmediatamente a un texto con marcas contienen variantes que la página muestra según sus datos o controles. No es necesario modificar las unidades, las fórmulas ni los nombres de planetas si solo buscas cambiar la redacción.</w:t>
      </w:r>
    </w:p>
    <w:p>
      <w:r>
        <w:t>Cuando termines, guarda el archivo como .docx y devuélvemelo o indícame su ruta. Compararé tus cambios con esta copia, los aplicaré a la página, comprobaré que siga funcionando y la resubiré. El informe queda fuera de ese proceso.</w:t>
      </w:r>
    </w:p>
    <w:p>
      <w:r>
        <w:t>Inventario: 195 bloques de texto, organizados en 10 secciones.</w:t>
      </w:r>
    </w:p>
    <w:p>
      <w:r>
        <w:br w:type="page"/>
      </w:r>
    </w:p>
    <w:p>
      <w:pPr>
        <w:pStyle w:val="Heading1"/>
      </w:pPr>
      <w:r>
        <w:t>Portada, navegación y pie de página</w:t>
      </w:r>
    </w:p>
    <w:p>
      <w:pPr>
        <w:pStyle w:val="Caption"/>
      </w:pPr>
      <w:r>
        <w:t>GEN-001 · Etiqueta de control o navegación</w:t>
      </w:r>
    </w:p>
    <w:sdt>
      <w:sdtPr>
        <w:tag w:val="GEN-001"/>
        <w:alias w:val="GEN-001 — Etiqueta de control o navegación"/>
      </w:sdtPr>
      <w:sdtContent>
        <w:p>
          <w:r>
            <w:t>1 UA</w:t>
          </w:r>
        </w:p>
      </w:sdtContent>
    </w:sdt>
    <w:p>
      <w:pPr>
        <w:pStyle w:val="Caption"/>
      </w:pPr>
      <w:r>
        <w:t>GEN-002 · Etiqueta de control o navegación</w:t>
      </w:r>
    </w:p>
    <w:sdt>
      <w:sdtPr>
        <w:tag w:val="GEN-002"/>
        <w:alias w:val="GEN-002 — Etiqueta de control o navegación"/>
      </w:sdtPr>
      <w:sdtContent>
        <w:p>
          <w:r>
            <w:t>1 pc</w:t>
          </w:r>
        </w:p>
      </w:sdtContent>
    </w:sdt>
    <w:p>
      <w:pPr>
        <w:pStyle w:val="Caption"/>
      </w:pPr>
      <w:r>
        <w:t>GEN-003 · Etiqueta de control o navegación</w:t>
      </w:r>
    </w:p>
    <w:sdt>
      <w:sdtPr>
        <w:tag w:val="GEN-003"/>
        <w:alias w:val="GEN-003 — Etiqueta de control o navegación"/>
      </w:sdtPr>
      <w:sdtContent>
        <w:p>
          <w:r>
            <w:t>1 kpc</w:t>
          </w:r>
        </w:p>
      </w:sdtContent>
    </w:sdt>
    <w:p>
      <w:pPr>
        <w:pStyle w:val="Caption"/>
      </w:pPr>
      <w:r>
        <w:t>GEN-004 · Etiqueta de control o navegación</w:t>
      </w:r>
    </w:p>
    <w:sdt>
      <w:sdtPr>
        <w:tag w:val="GEN-004"/>
        <w:alias w:val="GEN-004 — Etiqueta de control o navegación"/>
      </w:sdtPr>
      <w:sdtContent>
        <w:p>
          <w:r>
            <w:t>1 Mpc</w:t>
          </w:r>
        </w:p>
      </w:sdtContent>
    </w:sdt>
    <w:p>
      <w:pPr>
        <w:pStyle w:val="Caption"/>
      </w:pPr>
      <w:r>
        <w:t>GEN-005 · Etiqueta de control o navegación</w:t>
      </w:r>
    </w:p>
    <w:sdt>
      <w:sdtPr>
        <w:tag w:val="GEN-005"/>
        <w:alias w:val="GEN-005 — Etiqueta de control o navegación"/>
      </w:sdtPr>
      <w:sdtContent>
        <w:p>
          <w:r>
            <w:t>1 Gpc</w:t>
          </w:r>
        </w:p>
      </w:sdtContent>
    </w:sdt>
    <w:p>
      <w:pPr>
        <w:pStyle w:val="Caption"/>
      </w:pPr>
      <w:r>
        <w:t>GEN-006 · Etiqueta de control o navegación</w:t>
      </w:r>
    </w:p>
    <w:sdt>
      <w:sdtPr>
        <w:tag w:val="GEN-006"/>
        <w:alias w:val="GEN-006 — Etiqueta de control o navegación"/>
      </w:sdtPr>
      <w:sdtContent>
        <w:p>
          <w:r>
            <w:t>Sistema Solar</w:t>
          </w:r>
        </w:p>
      </w:sdtContent>
    </w:sdt>
    <w:p>
      <w:pPr>
        <w:pStyle w:val="Caption"/>
      </w:pPr>
      <w:r>
        <w:t>GEN-007 · Referencia de distancia</w:t>
      </w:r>
    </w:p>
    <w:sdt>
      <w:sdtPr>
        <w:tag w:val="GEN-007"/>
        <w:alias w:val="GEN-007 — Referencia de distancia"/>
      </w:sdtPr>
      <w:sdtContent>
        <w:p>
          <w:r>
            <w:t>hasta Neptuno, 30 UA</w:t>
          </w:r>
        </w:p>
      </w:sdtContent>
    </w:sdt>
    <w:p>
      <w:pPr>
        <w:pStyle w:val="Caption"/>
      </w:pPr>
      <w:r>
        <w:t>GEN-008 · Etiqueta de control o navegación</w:t>
      </w:r>
    </w:p>
    <w:sdt>
      <w:sdtPr>
        <w:tag w:val="GEN-008"/>
        <w:alias w:val="GEN-008 — Etiqueta de control o navegación"/>
      </w:sdtPr>
      <w:sdtContent>
        <w:p>
          <w:r>
            <w:t>Galaxia</w:t>
          </w:r>
        </w:p>
      </w:sdtContent>
    </w:sdt>
    <w:p>
      <w:pPr>
        <w:pStyle w:val="Caption"/>
      </w:pPr>
      <w:r>
        <w:t>GEN-009 · Referencia de distancia</w:t>
      </w:r>
    </w:p>
    <w:sdt>
      <w:sdtPr>
        <w:tag w:val="GEN-009"/>
        <w:alias w:val="GEN-009 — Referencia de distancia"/>
      </w:sdtPr>
      <w:sdtContent>
        <w:p>
          <w:r>
            <w:t>NGC 3198, 44 kpc</w:t>
          </w:r>
        </w:p>
      </w:sdtContent>
    </w:sdt>
    <w:p>
      <w:pPr>
        <w:pStyle w:val="Caption"/>
      </w:pPr>
      <w:r>
        <w:t>GEN-010 · Etiqueta de control o navegación</w:t>
      </w:r>
    </w:p>
    <w:sdt>
      <w:sdtPr>
        <w:tag w:val="GEN-010"/>
        <w:alias w:val="GEN-010 — Etiqueta de control o navegación"/>
      </w:sdtPr>
      <w:sdtContent>
        <w:p>
          <w:r>
            <w:t>Universo</w:t>
          </w:r>
        </w:p>
      </w:sdtContent>
    </w:sdt>
    <w:p>
      <w:pPr>
        <w:pStyle w:val="Caption"/>
      </w:pPr>
      <w:r>
        <w:t>GEN-011 · Referencia de distancia</w:t>
      </w:r>
    </w:p>
    <w:sdt>
      <w:sdtPr>
        <w:tag w:val="GEN-011"/>
        <w:alias w:val="GEN-011 — Referencia de distancia"/>
      </w:sdtPr>
      <w:sdtContent>
        <w:p>
          <w:r>
            <w:t>distancia de Hubble, 4,4 Gpc</w:t>
          </w:r>
        </w:p>
      </w:sdtContent>
    </w:sdt>
    <w:p>
      <w:pPr>
        <w:pStyle w:val="Caption"/>
      </w:pPr>
      <w:r>
        <w:t>GEN-012 · Etiqueta de control o navegación</w:t>
      </w:r>
    </w:p>
    <w:sdt>
      <w:sdtPr>
        <w:tag w:val="GEN-012"/>
        <w:alias w:val="GEN-012 — Etiqueta de control o navegación"/>
      </w:sdtPr>
      <w:sdtContent>
        <w:p>
          <w:r>
            <w:t>Supernovas</w:t>
          </w:r>
        </w:p>
      </w:sdtContent>
    </w:sdt>
    <w:p>
      <w:pPr>
        <w:pStyle w:val="Caption"/>
      </w:pPr>
      <w:r>
        <w:t>GEN-013 · Referencia de distancia</w:t>
      </w:r>
    </w:p>
    <w:sdt>
      <w:sdtPr>
        <w:tag w:val="GEN-013"/>
        <w:alias w:val="GEN-013 — Referencia de distancia"/>
      </w:sdtPr>
      <w:sdtContent>
        <w:p>
          <w:r>
            <w:t>z = 2, 18 Gpc</w:t>
          </w:r>
        </w:p>
      </w:sdtContent>
    </w:sdt>
    <w:p>
      <w:pPr>
        <w:pStyle w:val="Caption"/>
      </w:pPr>
      <w:r>
        <w:t>GEN-014 · Enlace</w:t>
      </w:r>
    </w:p>
    <w:sdt>
      <w:sdtPr>
        <w:tag w:val="GEN-014"/>
        <w:alias w:val="GEN-014 — Enlace"/>
      </w:sdtPr>
      <w:sdtContent>
        <w:p>
          <w:r>
            <w:t>Ir al contenido</w:t>
          </w:r>
        </w:p>
      </w:sdtContent>
    </w:sdt>
    <w:p>
      <w:pPr>
        <w:pStyle w:val="Caption"/>
      </w:pPr>
      <w:r>
        <w:t>GEN-015 · Título principal</w:t>
      </w:r>
    </w:p>
    <w:sdt>
      <w:sdtPr>
        <w:tag w:val="GEN-015"/>
        <w:alias w:val="GEN-015 — Título principal"/>
      </w:sdtPr>
      <w:sdtContent>
        <w:p>
          <w:r>
            <w:t>Una sola gravedad, tres escalas</w:t>
          </w:r>
        </w:p>
      </w:sdtContent>
    </w:sdt>
    <w:p>
      <w:pPr>
        <w:pStyle w:val="Caption"/>
      </w:pPr>
      <w:r>
        <w:t>GEN-016 · Párrafo</w:t>
      </w:r>
    </w:p>
    <w:sdt>
      <w:sdtPr>
        <w:tag w:val="GEN-016"/>
        <w:alias w:val="GEN-016 — Párrafo"/>
      </w:sdtPr>
      <w:sdtContent>
        <w:p>
          <w:r>
            <w:t>¿Qué podemos entender del Universo a partir de un programa? Exploramos órbitas, galaxias y expansión, y revisamos hasta dónde podemos confiar en lo que calculamos.</w:t>
          </w:r>
        </w:p>
      </w:sdtContent>
    </w:sdt>
    <w:p>
      <w:pPr>
        <w:pStyle w:val="Caption"/>
      </w:pPr>
      <w:r>
        <w:t>GEN-017 · Ayuda o título</w:t>
      </w:r>
    </w:p>
    <w:sdt>
      <w:sdtPr>
        <w:tag w:val="GEN-017"/>
        <w:alias w:val="GEN-017 — Ayuda o título"/>
      </w:sdtPr>
      <w:sdtContent>
        <w:p>
          <w:r>
            <w:t>Cambiar entre el tema oscuro y el tema claro para el informe</w:t>
          </w:r>
        </w:p>
      </w:sdtContent>
    </w:sdt>
    <w:p>
      <w:pPr>
        <w:pStyle w:val="Caption"/>
      </w:pPr>
      <w:r>
        <w:t>GEN-018 · Texto alternativo o dinámico</w:t>
      </w:r>
    </w:p>
    <w:sdt>
      <w:sdtPr>
        <w:tag w:val="GEN-018"/>
        <w:alias w:val="GEN-018 — Texto alternativo o dinámico"/>
      </w:sdtPr>
      <w:sdtContent>
        <w:p>
          <w:r>
            <w:t>Usar tema claro</w:t>
          </w:r>
        </w:p>
      </w:sdtContent>
    </w:sdt>
    <w:p>
      <w:pPr>
        <w:pStyle w:val="Caption"/>
      </w:pPr>
      <w:r>
        <w:t>GEN-019 · Texto alternativo o dinámico</w:t>
      </w:r>
    </w:p>
    <w:sdt>
      <w:sdtPr>
        <w:tag w:val="GEN-019"/>
        <w:alias w:val="GEN-019 — Texto alternativo o dinámico"/>
      </w:sdtPr>
      <w:sdtContent>
        <w:p>
          <w:r>
            <w:t>Usar tema oscuro</w:t>
          </w:r>
        </w:p>
      </w:sdtContent>
    </w:sdt>
    <w:p>
      <w:pPr>
        <w:pStyle w:val="Caption"/>
      </w:pPr>
      <w:r>
        <w:t>GEN-020 · Ayuda o título</w:t>
      </w:r>
    </w:p>
    <w:sdt>
      <w:sdtPr>
        <w:tag w:val="GEN-020"/>
        <w:alias w:val="GEN-020 — Ayuda o título"/>
      </w:sdtPr>
      <w:sdtContent>
        <w:p>
          <w:r>
            <w:t>El código Python corre en tu navegador con Pyodide</w:t>
          </w:r>
        </w:p>
      </w:sdtContent>
    </w:sdt>
    <w:p>
      <w:pPr>
        <w:pStyle w:val="Caption"/>
      </w:pPr>
      <w:r>
        <w:t>GEN-021 · Texto alternativo o dinámico</w:t>
      </w:r>
    </w:p>
    <w:sdt>
      <w:sdtPr>
        <w:tag w:val="GEN-021"/>
        <w:alias w:val="GEN-021 — Texto alternativo o dinámico"/>
      </w:sdtPr>
      <w:sdtContent>
        <w:p>
          <w:r>
            <w:t>Python listo</w:t>
          </w:r>
        </w:p>
      </w:sdtContent>
    </w:sdt>
    <w:p>
      <w:pPr>
        <w:pStyle w:val="Caption"/>
      </w:pPr>
      <w:r>
        <w:t>GEN-022 · Descripción accesible</w:t>
      </w:r>
    </w:p>
    <w:sdt>
      <w:sdtPr>
        <w:tag w:val="GEN-022"/>
        <w:alias w:val="GEN-022 — Descripción accesible"/>
      </w:sdtPr>
      <w:sdtContent>
        <w:p>
          <w:r>
            <w:t xml:space="preserve">Escala logarítmica de distancias. </w:t>
          </w:r>
          <w:r>
            <w:rPr>
              <w:highlight w:val="yellow"/>
            </w:rPr>
            <w:t>⟦ESCALA_ACTUAL⟧</w:t>
          </w:r>
          <w:r>
            <w:t xml:space="preserve">: </w:t>
          </w:r>
          <w:r>
            <w:rPr>
              <w:highlight w:val="yellow"/>
            </w:rPr>
            <w:t>⟦DISTANCIA_ACTUAL⟧</w:t>
          </w:r>
          <w:r>
            <w:t>.</w:t>
          </w:r>
        </w:p>
      </w:sdtContent>
    </w:sdt>
    <w:p>
      <w:pPr>
        <w:pStyle w:val="Caption"/>
      </w:pPr>
      <w:r>
        <w:t>GEN-023 · Etiqueta</w:t>
      </w:r>
    </w:p>
    <w:sdt>
      <w:sdtPr>
        <w:tag w:val="GEN-023"/>
        <w:alias w:val="GEN-023 — Etiqueta"/>
      </w:sdtPr>
      <w:sdtContent>
        <w:p>
          <w:r>
            <w:t>Distancia · escala logarítmica</w:t>
          </w:r>
        </w:p>
      </w:sdtContent>
    </w:sdt>
    <w:p>
      <w:pPr>
        <w:pStyle w:val="Caption"/>
      </w:pPr>
      <w:r>
        <w:t>GEN-024 · Descripción accesible</w:t>
      </w:r>
    </w:p>
    <w:sdt>
      <w:sdtPr>
        <w:tag w:val="GEN-024"/>
        <w:alias w:val="GEN-024 — Descripción accesible"/>
      </w:sdtPr>
      <w:sdtContent>
        <w:p>
          <w:r>
            <w:t>Explorar las escalas</w:t>
          </w:r>
        </w:p>
      </w:sdtContent>
    </w:sdt>
    <w:p>
      <w:pPr>
        <w:pStyle w:val="Caption"/>
      </w:pPr>
      <w:r>
        <w:t>GEN-025 · Texto desplegable</w:t>
      </w:r>
    </w:p>
    <w:sdt>
      <w:sdtPr>
        <w:tag w:val="GEN-025"/>
        <w:alias w:val="GEN-025 — Texto desplegable"/>
      </w:sdtPr>
      <w:sdtContent>
        <w:p>
          <w:r>
            <w:t>Sobre el proyecto y su método</w:t>
          </w:r>
        </w:p>
      </w:sdtContent>
    </w:sdt>
    <w:p>
      <w:pPr>
        <w:pStyle w:val="Caption"/>
      </w:pPr>
      <w:r>
        <w:t>GEN-026 · Párrafo</w:t>
      </w:r>
    </w:p>
    <w:sdt>
      <w:sdtPr>
        <w:tag w:val="GEN-026"/>
        <w:alias w:val="GEN-026 — Párrafo"/>
      </w:sdtPr>
      <w:sdtContent>
        <w:p>
          <w:r>
            <w:t>Como estudiantes de computación, nos preguntamos cómo llevar los contenidos de astronomía a instrucciones que podamos revisar. Comenzamos con el Sistema Solar: las leyes de Kepler nos dan resultados conocidos con los que comprobar el cálculo. Después pasamos a la rotación de una galaxia y a la expansión del Universo, donde también necesitamos relaciones basadas en relatividad general.</w:t>
          </w:r>
        </w:p>
      </w:sdtContent>
    </w:sdt>
    <w:p>
      <w:pPr>
        <w:pStyle w:val="Caption"/>
      </w:pPr>
      <w:r>
        <w:t>GEN-027 · Párrafo</w:t>
      </w:r>
    </w:p>
    <w:sdt>
      <w:sdtPr>
        <w:tag w:val="GEN-027"/>
        <w:alias w:val="GEN-027 — Párrafo"/>
      </w:sdtPr>
      <w:sdtContent>
        <w:p>
          <w:r>
            <w:t>La gravedad conecta los tres problemas, aunque no los resolvemos de la misma forma. En la galaxia comparamos velocidades con datos de SPARC; en el Universo calculamos distintas historias de expansión y las contrastamos con Pantheon+. Los controles permiten cambiar los supuestos y observar sus consecuencias. Las pruebas del código y las observaciones cumplen tareas distintas: comprobar el cálculo y revisar qué tan bien representa la realidad.</w:t>
          </w:r>
        </w:p>
      </w:sdtContent>
    </w:sdt>
    <w:p>
      <w:pPr>
        <w:pStyle w:val="Caption"/>
      </w:pPr>
      <w:r>
        <w:t>GEN-028 · Pie de página</w:t>
      </w:r>
    </w:p>
    <w:sdt>
      <w:sdtPr>
        <w:tag w:val="GEN-028"/>
        <w:alias w:val="GEN-028 — Pie de página"/>
      </w:sdtPr>
      <w:sdtContent>
        <w:p>
          <w:r>
            <w:t>Datos: SPARC (Lelli, McGaugh y Schombert, 2016) y Pantheon+ (Scolnic et al., 2022; Brout et al., 2022). El código Python que usamos aquí es el mismo que revisamos con las pruebas de física del repositorio.</w:t>
          </w:r>
        </w:p>
      </w:sdtContent>
    </w:sdt>
    <w:p>
      <w:r>
        <w:br w:type="page"/>
      </w:r>
    </w:p>
    <w:p>
      <w:pPr>
        <w:pStyle w:val="Heading1"/>
      </w:pPr>
      <w:r>
        <w:t>Sistema Solar</w:t>
      </w:r>
    </w:p>
    <w:p>
      <w:pPr>
        <w:pStyle w:val="Caption"/>
      </w:pPr>
      <w:r>
        <w:t>SOL-001 · Nombre de planeta</w:t>
      </w:r>
    </w:p>
    <w:sdt>
      <w:sdtPr>
        <w:tag w:val="SOL-001"/>
        <w:alias w:val="SOL-001 — Nombre de planeta"/>
      </w:sdtPr>
      <w:sdtContent>
        <w:p>
          <w:r>
            <w:t>Mercurio</w:t>
          </w:r>
        </w:p>
      </w:sdtContent>
    </w:sdt>
    <w:p>
      <w:pPr>
        <w:pStyle w:val="Caption"/>
      </w:pPr>
      <w:r>
        <w:t>SOL-002 · Nombre de planeta</w:t>
      </w:r>
    </w:p>
    <w:sdt>
      <w:sdtPr>
        <w:tag w:val="SOL-002"/>
        <w:alias w:val="SOL-002 — Nombre de planeta"/>
      </w:sdtPr>
      <w:sdtContent>
        <w:p>
          <w:r>
            <w:t>Venus</w:t>
          </w:r>
        </w:p>
      </w:sdtContent>
    </w:sdt>
    <w:p>
      <w:pPr>
        <w:pStyle w:val="Caption"/>
      </w:pPr>
      <w:r>
        <w:t>SOL-003 · Nombre de planeta</w:t>
      </w:r>
    </w:p>
    <w:sdt>
      <w:sdtPr>
        <w:tag w:val="SOL-003"/>
        <w:alias w:val="SOL-003 — Nombre de planeta"/>
      </w:sdtPr>
      <w:sdtContent>
        <w:p>
          <w:r>
            <w:t>Tierra</w:t>
          </w:r>
        </w:p>
      </w:sdtContent>
    </w:sdt>
    <w:p>
      <w:pPr>
        <w:pStyle w:val="Caption"/>
      </w:pPr>
      <w:r>
        <w:t>SOL-004 · Nombre de planeta</w:t>
      </w:r>
    </w:p>
    <w:sdt>
      <w:sdtPr>
        <w:tag w:val="SOL-004"/>
        <w:alias w:val="SOL-004 — Nombre de planeta"/>
      </w:sdtPr>
      <w:sdtContent>
        <w:p>
          <w:r>
            <w:t>Marte</w:t>
          </w:r>
        </w:p>
      </w:sdtContent>
    </w:sdt>
    <w:p>
      <w:pPr>
        <w:pStyle w:val="Caption"/>
      </w:pPr>
      <w:r>
        <w:t>SOL-005 · Nombre de planeta</w:t>
      </w:r>
    </w:p>
    <w:sdt>
      <w:sdtPr>
        <w:tag w:val="SOL-005"/>
        <w:alias w:val="SOL-005 — Nombre de planeta"/>
      </w:sdtPr>
      <w:sdtContent>
        <w:p>
          <w:r>
            <w:t>Júpiter</w:t>
          </w:r>
        </w:p>
      </w:sdtContent>
    </w:sdt>
    <w:p>
      <w:pPr>
        <w:pStyle w:val="Caption"/>
      </w:pPr>
      <w:r>
        <w:t>SOL-006 · Nombre de planeta</w:t>
      </w:r>
    </w:p>
    <w:sdt>
      <w:sdtPr>
        <w:tag w:val="SOL-006"/>
        <w:alias w:val="SOL-006 — Nombre de planeta"/>
      </w:sdtPr>
      <w:sdtContent>
        <w:p>
          <w:r>
            <w:t>Saturno</w:t>
          </w:r>
        </w:p>
      </w:sdtContent>
    </w:sdt>
    <w:p>
      <w:pPr>
        <w:pStyle w:val="Caption"/>
      </w:pPr>
      <w:r>
        <w:t>SOL-007 · Nombre de planeta</w:t>
      </w:r>
    </w:p>
    <w:sdt>
      <w:sdtPr>
        <w:tag w:val="SOL-007"/>
        <w:alias w:val="SOL-007 — Nombre de planeta"/>
      </w:sdtPr>
      <w:sdtContent>
        <w:p>
          <w:r>
            <w:t>Urano</w:t>
          </w:r>
        </w:p>
      </w:sdtContent>
    </w:sdt>
    <w:p>
      <w:pPr>
        <w:pStyle w:val="Caption"/>
      </w:pPr>
      <w:r>
        <w:t>SOL-008 · Nombre de planeta</w:t>
      </w:r>
    </w:p>
    <w:sdt>
      <w:sdtPr>
        <w:tag w:val="SOL-008"/>
        <w:alias w:val="SOL-008 — Nombre de planeta"/>
      </w:sdtPr>
      <w:sdtContent>
        <w:p>
          <w:r>
            <w:t>Neptuno</w:t>
          </w:r>
        </w:p>
      </w:sdtContent>
    </w:sdt>
    <w:p>
      <w:pPr>
        <w:pStyle w:val="Caption"/>
      </w:pPr>
      <w:r>
        <w:t>SOL-009 · Pregunta de entrada</w:t>
      </w:r>
    </w:p>
    <w:sdt>
      <w:sdtPr>
        <w:tag w:val="SOL-009"/>
        <w:alias w:val="SOL-009 — Pregunta de entrada"/>
      </w:sdtPr>
      <w:sdtContent>
        <w:p>
          <w:r>
            <w:t>¿Podemos confiar en lo que calcula el simulador?</w:t>
          </w:r>
        </w:p>
      </w:sdtContent>
    </w:sdt>
    <w:p>
      <w:pPr>
        <w:pStyle w:val="Caption"/>
      </w:pPr>
      <w:r>
        <w:t>SOL-010 · Qué hicimos</w:t>
      </w:r>
    </w:p>
    <w:sdt>
      <w:sdtPr>
        <w:tag w:val="SOL-010"/>
        <w:alias w:val="SOL-010 — Qué hicimos"/>
      </w:sdtPr>
      <w:sdtContent>
        <w:p>
          <w:r>
            <w:t>Comenzamos con un planeta alrededor del Sol. Calculamos su movimiento con la gravedad de Newton y dos métodos: Euler y leapfrog. No imponemos las leyes de Kepler durante el avance; las usamos después para revisar el resultado. También medimos el período de los ocho planetas.</w:t>
          </w:r>
        </w:p>
      </w:sdtContent>
    </w:sdt>
    <w:p>
      <w:pPr>
        <w:pStyle w:val="Caption"/>
      </w:pPr>
      <w:r>
        <w:t>SOL-011 · Qué encontramos</w:t>
      </w:r>
    </w:p>
    <w:sdt>
      <w:sdtPr>
        <w:tag w:val="SOL-011"/>
        <w:alias w:val="SOL-011 — Qué encontramos"/>
      </w:sdtPr>
      <w:sdtContent>
        <w:p>
          <w:r>
            <w:t>Para la Tierra, con pasos de 0,01 años durante cinco años, Euler produce una espiral y un error de energía del 57,6 %. Con el mismo paso, leapfrog mantiene una órbita aproximadamente cerrada. En la comprobación de los ocho planetas, T²/a³ se acerca a 1 con diferencias menores que 0,1 %.</w:t>
          </w:r>
        </w:p>
      </w:sdtContent>
    </w:sdt>
    <w:p>
      <w:pPr>
        <w:pStyle w:val="Caption"/>
      </w:pPr>
      <w:r>
        <w:t>SOL-012 · Descripción accesible</w:t>
      </w:r>
    </w:p>
    <w:sdt>
      <w:sdtPr>
        <w:tag w:val="SOL-012"/>
        <w:alias w:val="SOL-012 — Descripción accesible"/>
      </w:sdtPr>
      <w:sdtContent>
        <w:p>
          <w:r>
            <w:t>Los dos métodos</w:t>
          </w:r>
        </w:p>
      </w:sdtContent>
    </w:sdt>
    <w:p>
      <w:pPr>
        <w:pStyle w:val="Caption"/>
      </w:pPr>
      <w:r>
        <w:t>SOL-013 · Párrafo</w:t>
      </w:r>
    </w:p>
    <w:sdt>
      <w:sdtPr>
        <w:tag w:val="SOL-013"/>
        <w:alias w:val="SOL-013 — Párrafo"/>
      </w:sdtPr>
      <w:sdtContent>
        <w:p>
          <w:r>
            <w:t>Cómo se avanza el tiempo</w:t>
          </w:r>
        </w:p>
      </w:sdtContent>
    </w:sdt>
    <w:p>
      <w:pPr>
        <w:pStyle w:val="Caption"/>
      </w:pPr>
      <w:r>
        <w:t>SOL-014 · Párrafo</w:t>
      </w:r>
    </w:p>
    <w:sdt>
      <w:sdtPr>
        <w:tag w:val="SOL-014"/>
        <w:alias w:val="SOL-014 — Párrafo"/>
      </w:sdtPr>
      <w:sdtContent>
        <w:p>
          <w:r>
            <w:t>Para llevar el movimiento al computador dividimos el tiempo en pasos de duración Δt. En cada uno calculamos una posición r y una velocidad v nuevas a partir de la aceleración a(r). Ahora, ¿cómo influye la forma de dar ese paso?</w:t>
          </w:r>
        </w:p>
      </w:sdtContent>
    </w:sdt>
    <w:p>
      <w:pPr>
        <w:pStyle w:val="Caption"/>
      </w:pPr>
      <w:r>
        <w:t>SOL-015 · Subtítulo</w:t>
      </w:r>
    </w:p>
    <w:sdt>
      <w:sdtPr>
        <w:tag w:val="SOL-015"/>
        <w:alias w:val="SOL-015 — Subtítulo"/>
      </w:sdtPr>
      <w:sdtContent>
        <w:p>
          <w:r>
            <w:t>Euler: un paso con los valores iniciales</w:t>
          </w:r>
        </w:p>
      </w:sdtContent>
    </w:sdt>
    <w:p>
      <w:pPr>
        <w:pStyle w:val="Caption"/>
      </w:pPr>
      <w:r>
        <w:t>SOL-016 · Párrafo</w:t>
      </w:r>
    </w:p>
    <w:sdt>
      <w:sdtPr>
        <w:tag w:val="SOL-016"/>
        <w:alias w:val="SOL-016 — Párrafo"/>
      </w:sdtPr>
      <w:sdtContent>
        <w:p>
          <w:r>
            <w:t>r_nuevo = r + v·Δt v_nuevo = v + a(r)·Δt</w:t>
          </w:r>
        </w:p>
      </w:sdtContent>
    </w:sdt>
    <w:p>
      <w:pPr>
        <w:pStyle w:val="Caption"/>
      </w:pPr>
      <w:r>
        <w:t>SOL-017 · Párrafo</w:t>
      </w:r>
    </w:p>
    <w:sdt>
      <w:sdtPr>
        <w:tag w:val="SOL-017"/>
        <w:alias w:val="SOL-017 — Párrafo"/>
      </w:sdtPr>
      <w:sdtContent>
        <w:p>
          <w:r>
            <w:t>Calculamos la posición con la velocidad al inicio del paso, y la velocidad con la aceleración en esa misma posición inicial. En la prueba terrestre el error se acumula: la energía aumenta y la trayectoria se abre en espiral. Reducir Δt permite revisar cuánto depende el resultado de esa aproximación.</w:t>
          </w:r>
        </w:p>
      </w:sdtContent>
    </w:sdt>
    <w:p>
      <w:pPr>
        <w:pStyle w:val="Caption"/>
      </w:pPr>
      <w:r>
        <w:t>SOL-018 · Subtítulo</w:t>
      </w:r>
    </w:p>
    <w:sdt>
      <w:sdtPr>
        <w:tag w:val="SOL-018"/>
        <w:alias w:val="SOL-018 — Subtítulo"/>
      </w:sdtPr>
      <w:sdtContent>
        <w:p>
          <w:r>
            <w:t>Leapfrog: medio paso, avance y medio paso</w:t>
          </w:r>
        </w:p>
      </w:sdtContent>
    </w:sdt>
    <w:p>
      <w:pPr>
        <w:pStyle w:val="Caption"/>
      </w:pPr>
      <w:r>
        <w:t>SOL-019 · Párrafo</w:t>
      </w:r>
    </w:p>
    <w:sdt>
      <w:sdtPr>
        <w:tag w:val="SOL-019"/>
        <w:alias w:val="SOL-019 — Párrafo"/>
      </w:sdtPr>
      <w:sdtContent>
        <w:p>
          <w:r>
            <w:t>v_½ = v + a(r)·Δt/2 r_nuevo = r + v_½·Δt v_nuevo = v_½ + a(r_nuevo)·Δt/2</w:t>
          </w:r>
        </w:p>
      </w:sdtContent>
    </w:sdt>
    <w:p>
      <w:pPr>
        <w:pStyle w:val="Caption"/>
      </w:pPr>
      <w:r>
        <w:t>SOL-020 · Párrafo</w:t>
      </w:r>
    </w:p>
    <w:sdt>
      <w:sdtPr>
        <w:tag w:val="SOL-020"/>
        <w:alias w:val="SOL-020 — Párrafo"/>
      </w:sdtPr>
      <w:sdtContent>
        <w:p>
          <w:r>
            <w:t>Primero actualizamos la velocidad durante medio paso. Con ella avanzamos la posición y completamos la velocidad usando la aceleración nueva. Esta secuencia es simétrica en el tiempo. Con pasos suficientemente pequeños mantiene acotado el error de energía en nuestras pruebas; no significa que el cálculo sea exacto.</w:t>
          </w:r>
        </w:p>
      </w:sdtContent>
    </w:sdt>
    <w:p>
      <w:pPr>
        <w:pStyle w:val="Caption"/>
      </w:pPr>
      <w:r>
        <w:t>SOL-021 · Etiqueta</w:t>
      </w:r>
    </w:p>
    <w:sdt>
      <w:sdtPr>
        <w:tag w:val="SOL-021"/>
        <w:alias w:val="SOL-021 — Etiqueta"/>
      </w:sdtPr>
      <w:sdtContent>
        <w:p>
          <w:r>
            <w:t>Planeta</w:t>
          </w:r>
        </w:p>
      </w:sdtContent>
    </w:sdt>
    <w:p>
      <w:pPr>
        <w:pStyle w:val="Caption"/>
      </w:pPr>
      <w:r>
        <w:t>SOL-022 · Etiqueta de control o navegación</w:t>
      </w:r>
    </w:p>
    <w:sdt>
      <w:sdtPr>
        <w:tag w:val="SOL-022"/>
        <w:alias w:val="SOL-022 — Etiqueta de control o navegación"/>
      </w:sdtPr>
      <w:sdtContent>
        <w:p>
          <w:r>
            <w:t>Tiempo simulado</w:t>
          </w:r>
        </w:p>
      </w:sdtContent>
    </w:sdt>
    <w:p>
      <w:pPr>
        <w:pStyle w:val="Caption"/>
      </w:pPr>
      <w:r>
        <w:t>SOL-023 · Unidad del control</w:t>
      </w:r>
    </w:p>
    <w:sdt>
      <w:sdtPr>
        <w:tag w:val="SOL-023"/>
        <w:alias w:val="SOL-023 — Unidad del control"/>
      </w:sdtPr>
      <w:sdtContent>
        <w:p>
          <w:r>
            <w:t xml:space="preserve"> años</w:t>
          </w:r>
        </w:p>
      </w:sdtContent>
    </w:sdt>
    <w:p>
      <w:pPr>
        <w:pStyle w:val="Caption"/>
      </w:pPr>
      <w:r>
        <w:t>SOL-024 · Etiqueta de control o navegación</w:t>
      </w:r>
    </w:p>
    <w:sdt>
      <w:sdtPr>
        <w:tag w:val="SOL-024"/>
        <w:alias w:val="SOL-024 — Etiqueta de control o navegación"/>
      </w:sdtPr>
      <w:sdtContent>
        <w:p>
          <w:r>
            <w:t>Paso de tiempo Δt</w:t>
          </w:r>
        </w:p>
      </w:sdtContent>
    </w:sdt>
    <w:p>
      <w:pPr>
        <w:pStyle w:val="Caption"/>
      </w:pPr>
      <w:r>
        <w:t>SOL-025 · Unidad del control</w:t>
      </w:r>
    </w:p>
    <w:sdt>
      <w:sdtPr>
        <w:tag w:val="SOL-025"/>
        <w:alias w:val="SOL-025 — Unidad del control"/>
      </w:sdtPr>
      <w:sdtContent>
        <w:p>
          <w:r>
            <w:t xml:space="preserve"> años</w:t>
          </w:r>
        </w:p>
      </w:sdtContent>
    </w:sdt>
    <w:p>
      <w:pPr>
        <w:pStyle w:val="Caption"/>
      </w:pPr>
      <w:r>
        <w:t>SOL-026 · Pie de figura</w:t>
      </w:r>
    </w:p>
    <w:sdt>
      <w:sdtPr>
        <w:tag w:val="SOL-026"/>
        <w:alias w:val="SOL-026 — Pie de figura"/>
      </w:sdtPr>
      <w:sdtContent>
        <w:p>
          <w:r>
            <w:t xml:space="preserve">Figura 1a. Movimiento de </w:t>
          </w:r>
          <w:r>
            <w:rPr>
              <w:highlight w:val="yellow"/>
            </w:rPr>
            <w:t>⟦PLANETA⟧</w:t>
          </w:r>
          <w:r>
            <w:t xml:space="preserve"> durante </w:t>
          </w:r>
          <w:r>
            <w:rPr>
              <w:highlight w:val="yellow"/>
            </w:rPr>
            <w:t>⟦AÑOS⟧</w:t>
          </w:r>
          <w:r>
            <w:t xml:space="preserve"> años, con pasos de </w:t>
          </w:r>
          <w:r>
            <w:rPr>
              <w:highlight w:val="yellow"/>
            </w:rPr>
            <w:t>⟦PASO_AÑOS⟧</w:t>
          </w:r>
          <w:r>
            <w:t xml:space="preserve"> años. Euler termina a </w:t>
          </w:r>
          <w:r>
            <w:rPr>
              <w:highlight w:val="yellow"/>
            </w:rPr>
            <w:t>⟦DISTANCIA_EULER⟧</w:t>
          </w:r>
          <w:r>
            <w:t xml:space="preserve"> UA del Sol y leapfrog a </w:t>
          </w:r>
          <w:r>
            <w:rPr>
              <w:highlight w:val="yellow"/>
            </w:rPr>
            <w:t>⟦DISTANCIA_LEAPFROG⟧</w:t>
          </w:r>
          <w:r>
            <w:t xml:space="preserve"> UA. Una UA es aproximadamente la distancia media entre la Tierra y el Sol. Usamos la misma fuerza y el mismo paso: la diferencia proviene del método de cálculo.</w:t>
          </w:r>
        </w:p>
      </w:sdtContent>
    </w:sdt>
    <w:p>
      <w:pPr>
        <w:pStyle w:val="Caption"/>
      </w:pPr>
      <w:r>
        <w:t>SOL-027 · Nombre de modelo o serie</w:t>
      </w:r>
    </w:p>
    <w:sdt>
      <w:sdtPr>
        <w:tag w:val="SOL-027"/>
        <w:alias w:val="SOL-027 — Nombre de modelo o serie"/>
      </w:sdtPr>
      <w:sdtContent>
        <w:p>
          <w:r>
            <w:t>Euler</w:t>
          </w:r>
        </w:p>
      </w:sdtContent>
    </w:sdt>
    <w:p>
      <w:pPr>
        <w:pStyle w:val="Caption"/>
      </w:pPr>
      <w:r>
        <w:t>SOL-028 · Nombre de modelo o serie</w:t>
      </w:r>
    </w:p>
    <w:sdt>
      <w:sdtPr>
        <w:tag w:val="SOL-028"/>
        <w:alias w:val="SOL-028 — Nombre de modelo o serie"/>
      </w:sdtPr>
      <w:sdtContent>
        <w:p>
          <w:r>
            <w:t>Leapfrog</w:t>
          </w:r>
        </w:p>
      </w:sdtContent>
    </w:sdt>
    <w:p>
      <w:pPr>
        <w:pStyle w:val="Caption"/>
      </w:pPr>
      <w:r>
        <w:t>SOL-029 · Nombre de modelo o serie</w:t>
      </w:r>
    </w:p>
    <w:sdt>
      <w:sdtPr>
        <w:tag w:val="SOL-029"/>
        <w:alias w:val="SOL-029 — Nombre de modelo o serie"/>
      </w:sdtPr>
      <w:sdtContent>
        <w:p>
          <w:r>
            <w:t>Sol</w:t>
          </w:r>
        </w:p>
      </w:sdtContent>
    </w:sdt>
    <w:p>
      <w:pPr>
        <w:pStyle w:val="Caption"/>
      </w:pPr>
      <w:r>
        <w:t>SOL-030 · Texto del gráfico</w:t>
      </w:r>
    </w:p>
    <w:sdt>
      <w:sdtPr>
        <w:tag w:val="SOL-030"/>
        <w:alias w:val="SOL-030 — Texto del gráfico"/>
      </w:sdtPr>
      <w:sdtContent>
        <w:p>
          <w:r>
            <w:t>x (UA)</w:t>
          </w:r>
        </w:p>
      </w:sdtContent>
    </w:sdt>
    <w:p>
      <w:pPr>
        <w:pStyle w:val="Caption"/>
      </w:pPr>
      <w:r>
        <w:t>SOL-031 · Texto del gráfico</w:t>
      </w:r>
    </w:p>
    <w:sdt>
      <w:sdtPr>
        <w:tag w:val="SOL-031"/>
        <w:alias w:val="SOL-031 — Texto del gráfico"/>
      </w:sdtPr>
      <w:sdtContent>
        <w:p>
          <w:r>
            <w:t>y (UA)</w:t>
          </w:r>
        </w:p>
      </w:sdtContent>
    </w:sdt>
    <w:p>
      <w:pPr>
        <w:pStyle w:val="Caption"/>
      </w:pPr>
      <w:r>
        <w:t>SOL-032 · Pie de figura</w:t>
      </w:r>
    </w:p>
    <w:sdt>
      <w:sdtPr>
        <w:tag w:val="SOL-032"/>
        <w:alias w:val="SOL-032 — Pie de figura"/>
      </w:sdtPr>
      <w:sdtContent>
        <w:p>
          <w:r>
            <w:t>Figura 1b. Error relativo de energía en la misma simulación, en escala logarítmica. Lo comparamos con la energía inicial, que debería conservarse en este modelo. Cambia el paso de tiempo para revisar cómo responde cada método; una variación de energía aquí refleja el error numérico, no una fuerza adicional.</w:t>
          </w:r>
        </w:p>
      </w:sdtContent>
    </w:sdt>
    <w:p>
      <w:pPr>
        <w:pStyle w:val="Caption"/>
      </w:pPr>
      <w:r>
        <w:t>SOL-033 · Nombre de modelo o serie</w:t>
      </w:r>
    </w:p>
    <w:sdt>
      <w:sdtPr>
        <w:tag w:val="SOL-033"/>
        <w:alias w:val="SOL-033 — Nombre de modelo o serie"/>
      </w:sdtPr>
      <w:sdtContent>
        <w:p>
          <w:r>
            <w:t>Euler</w:t>
          </w:r>
        </w:p>
      </w:sdtContent>
    </w:sdt>
    <w:p>
      <w:pPr>
        <w:pStyle w:val="Caption"/>
      </w:pPr>
      <w:r>
        <w:t>SOL-034 · Nombre de modelo o serie</w:t>
      </w:r>
    </w:p>
    <w:sdt>
      <w:sdtPr>
        <w:tag w:val="SOL-034"/>
        <w:alias w:val="SOL-034 — Nombre de modelo o serie"/>
      </w:sdtPr>
      <w:sdtContent>
        <w:p>
          <w:r>
            <w:t>Leapfrog</w:t>
          </w:r>
        </w:p>
      </w:sdtContent>
    </w:sdt>
    <w:p>
      <w:pPr>
        <w:pStyle w:val="Caption"/>
      </w:pPr>
      <w:r>
        <w:t>SOL-035 · Texto del gráfico</w:t>
      </w:r>
    </w:p>
    <w:sdt>
      <w:sdtPr>
        <w:tag w:val="SOL-035"/>
        <w:alias w:val="SOL-035 — Texto del gráfico"/>
      </w:sdtPr>
      <w:sdtContent>
        <w:p>
          <w:r>
            <w:t>tiempo (años)</w:t>
          </w:r>
        </w:p>
      </w:sdtContent>
    </w:sdt>
    <w:p>
      <w:pPr>
        <w:pStyle w:val="Caption"/>
      </w:pPr>
      <w:r>
        <w:t>SOL-036 · Texto del gráfico</w:t>
      </w:r>
    </w:p>
    <w:sdt>
      <w:sdtPr>
        <w:tag w:val="SOL-036"/>
        <w:alias w:val="SOL-036 — Texto del gráfico"/>
      </w:sdtPr>
      <w:sdtContent>
        <w:p>
          <w:r>
            <w:t>error relativo de energía</w:t>
          </w:r>
        </w:p>
      </w:sdtContent>
    </w:sdt>
    <w:p>
      <w:pPr>
        <w:pStyle w:val="Caption"/>
      </w:pPr>
      <w:r>
        <w:t>SOL-037 · Título</w:t>
      </w:r>
    </w:p>
    <w:sdt>
      <w:sdtPr>
        <w:tag w:val="SOL-037"/>
        <w:alias w:val="SOL-037 — Título"/>
      </w:sdtPr>
      <w:sdtContent>
        <w:p>
          <w:r>
            <w:t>¿El movimiento respeta las leyes de Kepler?</w:t>
          </w:r>
        </w:p>
      </w:sdtContent>
    </w:sdt>
    <w:p>
      <w:pPr>
        <w:pStyle w:val="Caption"/>
      </w:pPr>
      <w:r>
        <w:t>SOL-038 · Párrafo</w:t>
      </w:r>
    </w:p>
    <w:sdt>
      <w:sdtPr>
        <w:tag w:val="SOL-038"/>
        <w:alias w:val="SOL-038 — Párrafo"/>
      </w:sdtPr>
      <w:sdtContent>
        <w:p>
          <w:r>
            <w:t>Las leyes de Kepler nos dan una referencia independiente del método. Revisamos las órbitas elípticas y las áreas iguales en tiempos iguales con pruebas automáticas. Abajo comparamos la tercera ley: el período T es el tiempo de una vuelta y el semieje mayor a describe el tamaño de la órbita. Para la masa solar, usando años y UA, esperamos T²/a³ = 1.</w:t>
          </w:r>
        </w:p>
      </w:sdtContent>
    </w:sdt>
    <w:p>
      <w:pPr>
        <w:pStyle w:val="Caption"/>
      </w:pPr>
      <w:r>
        <w:t>SOL-039 · Pie de figura</w:t>
      </w:r>
    </w:p>
    <w:sdt>
      <w:sdtPr>
        <w:tag w:val="SOL-039"/>
        <w:alias w:val="SOL-039 — Pie de figura"/>
      </w:sdtPr>
      <w:sdtContent>
        <w:p>
          <w:r>
            <w:t>Figura 2. Período y semieje mayor de los ocho planetas, en ejes logarítmicos. La línea punteada representa T² = a³ en años y UA. La tabla permite revisar cuánto se acerca cada resultado al valor esperado; e indica la excentricidad, es decir, cuánto se aparta la órbita de un círculo.</w:t>
          </w:r>
        </w:p>
      </w:sdtContent>
    </w:sdt>
    <w:p>
      <w:pPr>
        <w:pStyle w:val="Caption"/>
      </w:pPr>
      <w:r>
        <w:t>SOL-040 · Nombre de modelo o serie</w:t>
      </w:r>
    </w:p>
    <w:sdt>
      <w:sdtPr>
        <w:tag w:val="SOL-040"/>
        <w:alias w:val="SOL-040 — Nombre de modelo o serie"/>
      </w:sdtPr>
      <w:sdtContent>
        <w:p>
          <w:r>
            <w:t>T = a^(3/2)</w:t>
          </w:r>
        </w:p>
      </w:sdtContent>
    </w:sdt>
    <w:p>
      <w:pPr>
        <w:pStyle w:val="Caption"/>
      </w:pPr>
      <w:r>
        <w:t>SOL-041 · Nombre de modelo o serie</w:t>
      </w:r>
    </w:p>
    <w:sdt>
      <w:sdtPr>
        <w:tag w:val="SOL-041"/>
        <w:alias w:val="SOL-041 — Nombre de modelo o serie"/>
      </w:sdtPr>
      <w:sdtContent>
        <w:p>
          <w:r>
            <w:t>simulación</w:t>
          </w:r>
        </w:p>
      </w:sdtContent>
    </w:sdt>
    <w:p>
      <w:pPr>
        <w:pStyle w:val="Caption"/>
      </w:pPr>
      <w:r>
        <w:t>SOL-042 · Texto del gráfico</w:t>
      </w:r>
    </w:p>
    <w:sdt>
      <w:sdtPr>
        <w:tag w:val="SOL-042"/>
        <w:alias w:val="SOL-042 — Texto del gráfico"/>
      </w:sdtPr>
      <w:sdtContent>
        <w:p>
          <w:r>
            <w:t>a (UA)</w:t>
          </w:r>
        </w:p>
      </w:sdtContent>
    </w:sdt>
    <w:p>
      <w:pPr>
        <w:pStyle w:val="Caption"/>
      </w:pPr>
      <w:r>
        <w:t>SOL-043 · Texto del gráfico</w:t>
      </w:r>
    </w:p>
    <w:sdt>
      <w:sdtPr>
        <w:tag w:val="SOL-043"/>
        <w:alias w:val="SOL-043 — Texto del gráfico"/>
      </w:sdtPr>
      <w:sdtContent>
        <w:p>
          <w:r>
            <w:t>T (años)</w:t>
          </w:r>
        </w:p>
      </w:sdtContent>
    </w:sdt>
    <w:p>
      <w:pPr>
        <w:pStyle w:val="Caption"/>
      </w:pPr>
      <w:r>
        <w:t>SOL-044 · Encabezado de tabla</w:t>
      </w:r>
    </w:p>
    <w:sdt>
      <w:sdtPr>
        <w:tag w:val="SOL-044"/>
        <w:alias w:val="SOL-044 — Encabezado de tabla"/>
      </w:sdtPr>
      <w:sdtContent>
        <w:p>
          <w:r>
            <w:t>Planeta</w:t>
          </w:r>
        </w:p>
      </w:sdtContent>
    </w:sdt>
    <w:p>
      <w:pPr>
        <w:pStyle w:val="Caption"/>
      </w:pPr>
      <w:r>
        <w:t>SOL-045 · Encabezado de tabla</w:t>
      </w:r>
    </w:p>
    <w:sdt>
      <w:sdtPr>
        <w:tag w:val="SOL-045"/>
        <w:alias w:val="SOL-045 — Encabezado de tabla"/>
      </w:sdtPr>
      <w:sdtContent>
        <w:p>
          <w:r>
            <w:t>a (UA)</w:t>
          </w:r>
        </w:p>
      </w:sdtContent>
    </w:sdt>
    <w:p>
      <w:pPr>
        <w:pStyle w:val="Caption"/>
      </w:pPr>
      <w:r>
        <w:t>SOL-046 · Encabezado de tabla</w:t>
      </w:r>
    </w:p>
    <w:sdt>
      <w:sdtPr>
        <w:tag w:val="SOL-046"/>
        <w:alias w:val="SOL-046 — Encabezado de tabla"/>
      </w:sdtPr>
      <w:sdtContent>
        <w:p>
          <w:r>
            <w:t>e</w:t>
          </w:r>
        </w:p>
      </w:sdtContent>
    </w:sdt>
    <w:p>
      <w:pPr>
        <w:pStyle w:val="Caption"/>
      </w:pPr>
      <w:r>
        <w:t>SOL-047 · Encabezado de tabla</w:t>
      </w:r>
    </w:p>
    <w:sdt>
      <w:sdtPr>
        <w:tag w:val="SOL-047"/>
        <w:alias w:val="SOL-047 — Encabezado de tabla"/>
      </w:sdtPr>
      <w:sdtContent>
        <w:p>
          <w:r>
            <w:t>T medido (a)</w:t>
          </w:r>
        </w:p>
      </w:sdtContent>
    </w:sdt>
    <w:p>
      <w:pPr>
        <w:pStyle w:val="Caption"/>
      </w:pPr>
      <w:r>
        <w:t>SOL-048 · Encabezado de tabla</w:t>
      </w:r>
    </w:p>
    <w:sdt>
      <w:sdtPr>
        <w:tag w:val="SOL-048"/>
        <w:alias w:val="SOL-048 — Encabezado de tabla"/>
      </w:sdtPr>
      <w:sdtContent>
        <w:p>
          <w:r>
            <w:t>T²/a³</w:t>
          </w:r>
        </w:p>
      </w:sdtContent>
    </w:sdt>
    <w:p>
      <w:pPr>
        <w:pStyle w:val="Caption"/>
      </w:pPr>
      <w:r>
        <w:t>SOL-049 · Párrafo</w:t>
      </w:r>
    </w:p>
    <w:sdt>
      <w:sdtPr>
        <w:tag w:val="SOL-049"/>
        <w:alias w:val="SOL-049 — Párrafo"/>
      </w:sdtPr>
      <w:sdtContent>
        <w:p>
          <w:r>
            <w:t>Volvamos a la pregunta inicial: una órbita convincente en pantalla no basta para confiar en el programa. Compararla con Kepler y revisar la energía nos da razones para confiar en el cálculo dentro de las condiciones comprobadas.</w:t>
          </w:r>
        </w:p>
      </w:sdtContent>
    </w:sdt>
    <w:p>
      <w:pPr>
        <w:pStyle w:val="Caption"/>
      </w:pPr>
      <w:r>
        <w:t>SOL-050 · Párrafo</w:t>
      </w:r>
    </w:p>
    <w:sdt>
      <w:sdtPr>
        <w:tag w:val="SOL-050"/>
        <w:alias w:val="SOL-050 — Párrafo"/>
      </w:sdtPr>
      <w:sdtContent>
        <w:p>
          <w:r>
            <w:t>La espiral de Euler muestra por qué importa esa distinción. El computador puede seguir correctamente las instrucciones y aun así representar mal el movimiento. Estas pruebas ayudan a revisar el motor, pero no validan por sí solas los modelos de galaxias y del Universo.</w:t>
          </w:r>
        </w:p>
      </w:sdtContent>
    </w:sdt>
    <w:p>
      <w:r>
        <w:br w:type="page"/>
      </w:r>
    </w:p>
    <w:p>
      <w:pPr>
        <w:pStyle w:val="Heading1"/>
      </w:pPr>
      <w:r>
        <w:t>Galaxia</w:t>
      </w:r>
    </w:p>
    <w:p>
      <w:pPr>
        <w:pStyle w:val="Caption"/>
      </w:pPr>
      <w:r>
        <w:t>GAL-001 · Formato de masa</w:t>
      </w:r>
    </w:p>
    <w:sdt>
      <w:sdtPr>
        <w:tag w:val="GAL-001"/>
        <w:alias w:val="GAL-001 — Formato de masa"/>
      </w:sdtPr>
      <w:sdtContent>
        <w:p>
          <w:r>
            <w:rPr>
              <w:highlight w:val="yellow"/>
            </w:rPr>
            <w:t>⟦VALOR_1⟧</w:t>
          </w:r>
          <w:r>
            <w:t xml:space="preserve"> × 10¹⁰ M☉</w:t>
          </w:r>
        </w:p>
      </w:sdtContent>
    </w:sdt>
    <w:p>
      <w:pPr>
        <w:pStyle w:val="Caption"/>
      </w:pPr>
      <w:r>
        <w:t>GAL-002 · Pregunta de entrada</w:t>
      </w:r>
    </w:p>
    <w:sdt>
      <w:sdtPr>
        <w:tag w:val="GAL-002"/>
        <w:alias w:val="GAL-002 — Pregunta de entrada"/>
      </w:sdtPr>
      <w:sdtContent>
        <w:p>
          <w:r>
            <w:t>¿Alcanza la materia que vemos para explicar cómo gira una galaxia?</w:t>
          </w:r>
        </w:p>
      </w:sdtContent>
    </w:sdt>
    <w:p>
      <w:pPr>
        <w:pStyle w:val="Caption"/>
      </w:pPr>
      <w:r>
        <w:t>GAL-003 · Qué hicimos</w:t>
      </w:r>
    </w:p>
    <w:sdt>
      <w:sdtPr>
        <w:tag w:val="GAL-003"/>
        <w:alias w:val="GAL-003 — Qué hicimos"/>
      </w:sdtPr>
      <w:sdtContent>
        <w:p>
          <w:r>
            <w:t xml:space="preserve">Usamos NGC 3198, una galaxia espiral a </w:t>
          </w:r>
          <w:r>
            <w:rPr>
              <w:highlight w:val="yellow"/>
            </w:rPr>
            <w:t>⟦DISTANCIA_MPC⟧</w:t>
          </w:r>
          <w:r>
            <w:t xml:space="preserve"> Mpc, y las mediciones de SPARC. Su curva de rotación muestra la velocidad del gas a distintas distancias del centro. Comparamos esos datos con el aporte del gas y las estrellas, y con un modelo que agrega un halo: una distribución extendida de materia oscura. Aquí calculamos velocidades, sin avanzar órbitas en el tiempo.</w:t>
          </w:r>
        </w:p>
      </w:sdtContent>
    </w:sdt>
    <w:p>
      <w:pPr>
        <w:pStyle w:val="Caption"/>
      </w:pPr>
      <w:r>
        <w:t>GAL-004 · Qué encontramos</w:t>
      </w:r>
    </w:p>
    <w:sdt>
      <w:sdtPr>
        <w:tag w:val="GAL-004"/>
        <w:alias w:val="GAL-004 — Qué encontramos"/>
      </w:sdtPr>
      <w:sdtContent>
        <w:p>
          <w:r>
            <w:t xml:space="preserve">En las regiones exteriores, las velocidades observadas se mantienen cerca de 150 km/s. Con los parámetros iniciales, la materia visible predice unos 65 km/s y agregar un halo mejora el acuerdo. Bajo los supuestos elegidos estimamos que </w:t>
          </w:r>
          <w:r>
            <w:rPr>
              <w:highlight w:val="yellow"/>
            </w:rPr>
            <w:t>⟦PORCENTAJE_OSCURO⟧</w:t>
          </w:r>
          <w:r>
            <w:t xml:space="preserve"> de la masa dentro de </w:t>
          </w:r>
          <w:r>
            <w:rPr>
              <w:highlight w:val="yellow"/>
            </w:rPr>
            <w:t>⟦RADIO_KPC⟧</w:t>
          </w:r>
          <w:r>
            <w:t xml:space="preserve"> kpc sería oscura. Esa cifra cambia con el cociente masa-luz que elijas.</w:t>
          </w:r>
        </w:p>
      </w:sdtContent>
    </w:sdt>
    <w:p>
      <w:pPr>
        <w:pStyle w:val="Caption"/>
      </w:pPr>
      <w:r>
        <w:t>GAL-005 · Qué encontramos</w:t>
      </w:r>
    </w:p>
    <w:sdt>
      <w:sdtPr>
        <w:tag w:val="GAL-005"/>
        <w:alias w:val="GAL-005 — Qué encontramos"/>
      </w:sdtPr>
      <w:sdtContent>
        <w:p>
          <w:r>
            <w:rPr>
              <w:highlight w:val="yellow"/>
            </w:rPr>
            <w:t>⟦PORCENTAJE_OSCURO⟧</w:t>
          </w:r>
          <w:r>
            <w:t xml:space="preserve"> %</w:t>
          </w:r>
        </w:p>
      </w:sdtContent>
    </w:sdt>
    <w:p>
      <w:pPr>
        <w:pStyle w:val="Caption"/>
      </w:pPr>
      <w:r>
        <w:t>GAL-006 · Qué encontramos</w:t>
      </w:r>
    </w:p>
    <w:sdt>
      <w:sdtPr>
        <w:tag w:val="GAL-006"/>
        <w:alias w:val="GAL-006 — Qué encontramos"/>
      </w:sdtPr>
      <w:sdtContent>
        <w:p>
          <w:r>
            <w:t>alrededor del 81 %</w:t>
          </w:r>
        </w:p>
      </w:sdtContent>
    </w:sdt>
    <w:p>
      <w:pPr>
        <w:pStyle w:val="Caption"/>
      </w:pPr>
      <w:r>
        <w:t>GAL-007 · Qué encontramos</w:t>
      </w:r>
    </w:p>
    <w:sdt>
      <w:sdtPr>
        <w:tag w:val="GAL-007"/>
        <w:alias w:val="GAL-007 — Qué encontramos"/>
      </w:sdtPr>
      <w:sdtContent>
        <w:p>
          <w:r>
            <w:t>44</w:t>
          </w:r>
        </w:p>
      </w:sdtContent>
    </w:sdt>
    <w:p>
      <w:pPr>
        <w:pStyle w:val="Caption"/>
      </w:pPr>
      <w:r>
        <w:t>GAL-008 · Párrafo</w:t>
      </w:r>
    </w:p>
    <w:sdt>
      <w:sdtPr>
        <w:tag w:val="GAL-008"/>
        <w:alias w:val="GAL-008 — Párrafo"/>
      </w:sdtPr>
      <w:sdtContent>
        <w:p>
          <w:r>
            <w:t>El cociente masa-luz Υ permite convertir la luz de las estrellas en masa; M☉ y L☉ representan la masa y la luminosidad del Sol. Un kpc equivale a mil pársecs y un Mpc, a un millón. El halo tiene un radio central r_c y una velocidad límite v_∞. NGC 3198 no tiene bulbo, por lo que ese control no cambia el resultado.</w:t>
          </w:r>
        </w:p>
      </w:sdtContent>
    </w:sdt>
    <w:p>
      <w:pPr>
        <w:pStyle w:val="Caption"/>
      </w:pPr>
      <w:r>
        <w:t>GAL-009 · Etiqueta de control o navegación</w:t>
      </w:r>
    </w:p>
    <w:sdt>
      <w:sdtPr>
        <w:tag w:val="GAL-009"/>
        <w:alias w:val="GAL-009 — Etiqueta de control o navegación"/>
      </w:sdtPr>
      <w:sdtContent>
        <w:p>
          <w:r>
            <w:t>Masa-luz del disco Υ (M☉/L☉)</w:t>
          </w:r>
        </w:p>
      </w:sdtContent>
    </w:sdt>
    <w:p>
      <w:pPr>
        <w:pStyle w:val="Caption"/>
      </w:pPr>
      <w:r>
        <w:t>GAL-010 · Etiqueta de control o navegación</w:t>
      </w:r>
    </w:p>
    <w:sdt>
      <w:sdtPr>
        <w:tag w:val="GAL-010"/>
        <w:alias w:val="GAL-010 — Etiqueta de control o navegación"/>
      </w:sdtPr>
      <w:sdtContent>
        <w:p>
          <w:r>
            <w:t>Masa-luz del bulbo Υ (M☉/L☉)</w:t>
          </w:r>
        </w:p>
      </w:sdtContent>
    </w:sdt>
    <w:p>
      <w:pPr>
        <w:pStyle w:val="Caption"/>
      </w:pPr>
      <w:r>
        <w:t>GAL-011 · Etiqueta</w:t>
      </w:r>
    </w:p>
    <w:sdt>
      <w:sdtPr>
        <w:tag w:val="GAL-011"/>
        <w:alias w:val="GAL-011 — Etiqueta"/>
      </w:sdtPr>
      <w:sdtContent>
        <w:p>
          <w:r>
            <w:t>Ajustar el halo automáticamente</w:t>
          </w:r>
        </w:p>
      </w:sdtContent>
    </w:sdt>
    <w:p>
      <w:pPr>
        <w:pStyle w:val="Caption"/>
      </w:pPr>
      <w:r>
        <w:t>GAL-012 · Etiqueta de control o navegación</w:t>
      </w:r>
    </w:p>
    <w:sdt>
      <w:sdtPr>
        <w:tag w:val="GAL-012"/>
        <w:alias w:val="GAL-012 — Etiqueta de control o navegación"/>
      </w:sdtPr>
      <w:sdtContent>
        <w:p>
          <w:r>
            <w:t>Radio central del halo r_c</w:t>
          </w:r>
        </w:p>
      </w:sdtContent>
    </w:sdt>
    <w:p>
      <w:pPr>
        <w:pStyle w:val="Caption"/>
      </w:pPr>
      <w:r>
        <w:t>GAL-013 · Unidad del control</w:t>
      </w:r>
    </w:p>
    <w:sdt>
      <w:sdtPr>
        <w:tag w:val="GAL-013"/>
        <w:alias w:val="GAL-013 — Unidad del control"/>
      </w:sdtPr>
      <w:sdtContent>
        <w:p>
          <w:r>
            <w:t xml:space="preserve"> kpc</w:t>
          </w:r>
        </w:p>
      </w:sdtContent>
    </w:sdt>
    <w:p>
      <w:pPr>
        <w:pStyle w:val="Caption"/>
      </w:pPr>
      <w:r>
        <w:t>GAL-014 · Etiqueta de control o navegación</w:t>
      </w:r>
    </w:p>
    <w:sdt>
      <w:sdtPr>
        <w:tag w:val="GAL-014"/>
        <w:alias w:val="GAL-014 — Etiqueta de control o navegación"/>
      </w:sdtPr>
      <w:sdtContent>
        <w:p>
          <w:r>
            <w:t>Velocidad límite del halo v_∞</w:t>
          </w:r>
        </w:p>
      </w:sdtContent>
    </w:sdt>
    <w:p>
      <w:pPr>
        <w:pStyle w:val="Caption"/>
      </w:pPr>
      <w:r>
        <w:t>GAL-015 · Unidad del control</w:t>
      </w:r>
    </w:p>
    <w:sdt>
      <w:sdtPr>
        <w:tag w:val="GAL-015"/>
        <w:alias w:val="GAL-015 — Unidad del control"/>
      </w:sdtPr>
      <w:sdtContent>
        <w:p>
          <w:r>
            <w:t xml:space="preserve"> km/s</w:t>
          </w:r>
        </w:p>
      </w:sdtContent>
    </w:sdt>
    <w:p>
      <w:pPr>
        <w:pStyle w:val="Caption"/>
      </w:pPr>
      <w:r>
        <w:t>GAL-016 · Pie de figura</w:t>
      </w:r>
    </w:p>
    <w:sdt>
      <w:sdtPr>
        <w:tag w:val="GAL-016"/>
        <w:alias w:val="GAL-016 — Pie de figura"/>
      </w:sdtPr>
      <w:sdtContent>
        <w:p>
          <w:r>
            <w:t xml:space="preserve">Figura 3. Rotación de NGC 3198: datos de SPARC con sus incertidumbres y aportes calculados. Usamos Υ_disco = </w:t>
          </w:r>
          <w:r>
            <w:rPr>
              <w:highlight w:val="yellow"/>
            </w:rPr>
            <w:t>⟦MASA_LUZ_DISCO⟧</w:t>
          </w:r>
          <w:r>
            <w:t xml:space="preserve"> y un halo con r_c = </w:t>
          </w:r>
          <w:r>
            <w:rPr>
              <w:highlight w:val="yellow"/>
            </w:rPr>
            <w:t>⟦RADIO_HALO⟧</w:t>
          </w:r>
          <w:r>
            <w:t xml:space="preserve"> kpc y v_∞ = </w:t>
          </w:r>
          <w:r>
            <w:rPr>
              <w:highlight w:val="yellow"/>
            </w:rPr>
            <w:t>⟦VELOCIDAD_HALO⟧</w:t>
          </w:r>
          <w:r>
            <w:t xml:space="preserve"> km/s, </w:t>
          </w:r>
          <w:r>
            <w:rPr>
              <w:highlight w:val="yellow"/>
            </w:rPr>
            <w:t>⟦TIPO_DE_AJUSTE⟧</w:t>
          </w:r>
          <w:r>
            <w:t>. Compara la curva de materia visible con la suma de visible y halo para revisar el acuerdo con las observaciones.</w:t>
          </w:r>
        </w:p>
      </w:sdtContent>
    </w:sdt>
    <w:p>
      <w:pPr>
        <w:pStyle w:val="Caption"/>
      </w:pPr>
      <w:r>
        <w:t>GAL-017 · Pie de figura</w:t>
      </w:r>
    </w:p>
    <w:sdt>
      <w:sdtPr>
        <w:tag w:val="GAL-017"/>
        <w:alias w:val="GAL-017 — Pie de figura"/>
      </w:sdtPr>
      <w:sdtContent>
        <w:p>
          <w:r>
            <w:t>ajustado automáticamente</w:t>
          </w:r>
        </w:p>
      </w:sdtContent>
    </w:sdt>
    <w:p>
      <w:pPr>
        <w:pStyle w:val="Caption"/>
      </w:pPr>
      <w:r>
        <w:t>GAL-018 · Pie de figura</w:t>
      </w:r>
    </w:p>
    <w:sdt>
      <w:sdtPr>
        <w:tag w:val="GAL-018"/>
        <w:alias w:val="GAL-018 — Pie de figura"/>
      </w:sdtPr>
      <w:sdtContent>
        <w:p>
          <w:r>
            <w:t>elegido con los controles</w:t>
          </w:r>
        </w:p>
      </w:sdtContent>
    </w:sdt>
    <w:p>
      <w:pPr>
        <w:pStyle w:val="Caption"/>
      </w:pPr>
      <w:r>
        <w:t>GAL-019 · Nombre de modelo o serie</w:t>
      </w:r>
    </w:p>
    <w:sdt>
      <w:sdtPr>
        <w:tag w:val="GAL-019"/>
        <w:alias w:val="GAL-019 — Nombre de modelo o serie"/>
      </w:sdtPr>
      <w:sdtContent>
        <w:p>
          <w:r>
            <w:t>observada (SPARC)</w:t>
          </w:r>
        </w:p>
      </w:sdtContent>
    </w:sdt>
    <w:p>
      <w:pPr>
        <w:pStyle w:val="Caption"/>
      </w:pPr>
      <w:r>
        <w:t>GAL-020 · Nombre de modelo o serie</w:t>
      </w:r>
    </w:p>
    <w:sdt>
      <w:sdtPr>
        <w:tag w:val="GAL-020"/>
        <w:alias w:val="GAL-020 — Nombre de modelo o serie"/>
      </w:sdtPr>
      <w:sdtContent>
        <w:p>
          <w:r>
            <w:t>materia visible</w:t>
          </w:r>
        </w:p>
      </w:sdtContent>
    </w:sdt>
    <w:p>
      <w:pPr>
        <w:pStyle w:val="Caption"/>
      </w:pPr>
      <w:r>
        <w:t>GAL-021 · Nombre de modelo o serie</w:t>
      </w:r>
    </w:p>
    <w:sdt>
      <w:sdtPr>
        <w:tag w:val="GAL-021"/>
        <w:alias w:val="GAL-021 — Nombre de modelo o serie"/>
      </w:sdtPr>
      <w:sdtContent>
        <w:p>
          <w:r>
            <w:t>halo oscuro</w:t>
          </w:r>
        </w:p>
      </w:sdtContent>
    </w:sdt>
    <w:p>
      <w:pPr>
        <w:pStyle w:val="Caption"/>
      </w:pPr>
      <w:r>
        <w:t>GAL-022 · Nombre de modelo o serie</w:t>
      </w:r>
    </w:p>
    <w:sdt>
      <w:sdtPr>
        <w:tag w:val="GAL-022"/>
        <w:alias w:val="GAL-022 — Nombre de modelo o serie"/>
      </w:sdtPr>
      <w:sdtContent>
        <w:p>
          <w:r>
            <w:t>visible + halo</w:t>
          </w:r>
        </w:p>
      </w:sdtContent>
    </w:sdt>
    <w:p>
      <w:pPr>
        <w:pStyle w:val="Caption"/>
      </w:pPr>
      <w:r>
        <w:t>GAL-023 · Texto del gráfico</w:t>
      </w:r>
    </w:p>
    <w:sdt>
      <w:sdtPr>
        <w:tag w:val="GAL-023"/>
        <w:alias w:val="GAL-023 — Texto del gráfico"/>
      </w:sdtPr>
      <w:sdtContent>
        <w:p>
          <w:r>
            <w:t>radio (kpc)</w:t>
          </w:r>
        </w:p>
      </w:sdtContent>
    </w:sdt>
    <w:p>
      <w:pPr>
        <w:pStyle w:val="Caption"/>
      </w:pPr>
      <w:r>
        <w:t>GAL-024 · Texto del gráfico</w:t>
      </w:r>
    </w:p>
    <w:sdt>
      <w:sdtPr>
        <w:tag w:val="GAL-024"/>
        <w:alias w:val="GAL-024 — Texto del gráfico"/>
      </w:sdtPr>
      <w:sdtContent>
        <w:p>
          <w:r>
            <w:t>velocidad circular (km/s)</w:t>
          </w:r>
        </w:p>
      </w:sdtContent>
    </w:sdt>
    <w:p>
      <w:pPr>
        <w:pStyle w:val="Caption"/>
      </w:pPr>
      <w:r>
        <w:t>GAL-025 · Encabezado de tabla</w:t>
      </w:r>
    </w:p>
    <w:sdt>
      <w:sdtPr>
        <w:tag w:val="GAL-025"/>
        <w:alias w:val="GAL-025 — Encabezado de tabla"/>
      </w:sdtPr>
      <w:sdtContent>
        <w:p>
          <w:r>
            <w:t>Halo: r_c</w:t>
          </w:r>
        </w:p>
      </w:sdtContent>
    </w:sdt>
    <w:p>
      <w:pPr>
        <w:pStyle w:val="Caption"/>
      </w:pPr>
      <w:r>
        <w:t>GAL-026 · Texto de tabla</w:t>
      </w:r>
    </w:p>
    <w:sdt>
      <w:sdtPr>
        <w:tag w:val="GAL-026"/>
        <w:alias w:val="GAL-026 — Texto de tabla"/>
      </w:sdtPr>
      <w:sdtContent>
        <w:p>
          <w:r>
            <w:rPr>
              <w:highlight w:val="yellow"/>
            </w:rPr>
            <w:t>⟦RADIO_HALO⟧</w:t>
          </w:r>
          <w:r>
            <w:t xml:space="preserve"> kpc</w:t>
          </w:r>
        </w:p>
      </w:sdtContent>
    </w:sdt>
    <w:p>
      <w:pPr>
        <w:pStyle w:val="Caption"/>
      </w:pPr>
      <w:r>
        <w:t>GAL-027 · Encabezado de tabla</w:t>
      </w:r>
    </w:p>
    <w:sdt>
      <w:sdtPr>
        <w:tag w:val="GAL-027"/>
        <w:alias w:val="GAL-027 — Encabezado de tabla"/>
      </w:sdtPr>
      <w:sdtContent>
        <w:p>
          <w:r>
            <w:t>Halo: v_∞</w:t>
          </w:r>
        </w:p>
      </w:sdtContent>
    </w:sdt>
    <w:p>
      <w:pPr>
        <w:pStyle w:val="Caption"/>
      </w:pPr>
      <w:r>
        <w:t>GAL-028 · Texto de tabla</w:t>
      </w:r>
    </w:p>
    <w:sdt>
      <w:sdtPr>
        <w:tag w:val="GAL-028"/>
        <w:alias w:val="GAL-028 — Texto de tabla"/>
      </w:sdtPr>
      <w:sdtContent>
        <w:p>
          <w:r>
            <w:rPr>
              <w:highlight w:val="yellow"/>
            </w:rPr>
            <w:t>⟦VELOCIDAD_HALO⟧</w:t>
          </w:r>
          <w:r>
            <w:t xml:space="preserve"> km/s</w:t>
          </w:r>
        </w:p>
      </w:sdtContent>
    </w:sdt>
    <w:p>
      <w:pPr>
        <w:pStyle w:val="Caption"/>
      </w:pPr>
      <w:r>
        <w:t>GAL-029 · Encabezado de tabla</w:t>
      </w:r>
    </w:p>
    <w:sdt>
      <w:sdtPr>
        <w:tag w:val="GAL-029"/>
        <w:alias w:val="GAL-029 — Encabezado de tabla"/>
      </w:sdtPr>
      <w:sdtContent>
        <w:p>
          <w:r>
            <w:t>χ² / (N − 2)</w:t>
          </w:r>
        </w:p>
      </w:sdtContent>
    </w:sdt>
    <w:p>
      <w:pPr>
        <w:pStyle w:val="Caption"/>
      </w:pPr>
      <w:r>
        <w:t>GAL-030 · Encabezado de tabla</w:t>
      </w:r>
    </w:p>
    <w:sdt>
      <w:sdtPr>
        <w:tag w:val="GAL-030"/>
        <w:alias w:val="GAL-030 — Encabezado de tabla"/>
      </w:sdtPr>
      <w:sdtContent>
        <w:p>
          <w:r>
            <w:t xml:space="preserve">Masa dinámica dentro de </w:t>
          </w:r>
          <w:r>
            <w:rPr>
              <w:highlight w:val="yellow"/>
            </w:rPr>
            <w:t>⟦RADIO_KPC⟧</w:t>
          </w:r>
          <w:r>
            <w:t xml:space="preserve"> kpc</w:t>
          </w:r>
        </w:p>
      </w:sdtContent>
    </w:sdt>
    <w:p>
      <w:pPr>
        <w:pStyle w:val="Caption"/>
      </w:pPr>
      <w:r>
        <w:t>GAL-031 · Encabezado de tabla</w:t>
      </w:r>
    </w:p>
    <w:sdt>
      <w:sdtPr>
        <w:tag w:val="GAL-031"/>
        <w:alias w:val="GAL-031 — Encabezado de tabla"/>
      </w:sdtPr>
      <w:sdtContent>
        <w:p>
          <w:r>
            <w:t xml:space="preserve">Masa visible dentro de </w:t>
          </w:r>
          <w:r>
            <w:rPr>
              <w:highlight w:val="yellow"/>
            </w:rPr>
            <w:t>⟦RADIO_KPC⟧</w:t>
          </w:r>
          <w:r>
            <w:t xml:space="preserve"> kpc</w:t>
          </w:r>
        </w:p>
      </w:sdtContent>
    </w:sdt>
    <w:p>
      <w:pPr>
        <w:pStyle w:val="Caption"/>
      </w:pPr>
      <w:r>
        <w:t>GAL-032 · Encabezado de tabla</w:t>
      </w:r>
    </w:p>
    <w:sdt>
      <w:sdtPr>
        <w:tag w:val="GAL-032"/>
        <w:alias w:val="GAL-032 — Encabezado de tabla"/>
      </w:sdtPr>
      <w:sdtContent>
        <w:p>
          <w:r>
            <w:t>Fracción oscura</w:t>
          </w:r>
        </w:p>
      </w:sdtContent>
    </w:sdt>
    <w:p>
      <w:pPr>
        <w:pStyle w:val="Caption"/>
      </w:pPr>
      <w:r>
        <w:t>GAL-033 · Texto de tabla</w:t>
      </w:r>
    </w:p>
    <w:sdt>
      <w:sdtPr>
        <w:tag w:val="GAL-033"/>
        <w:alias w:val="GAL-033 — Texto de tabla"/>
      </w:sdtPr>
      <w:sdtContent>
        <w:p>
          <w:r>
            <w:rPr>
              <w:highlight w:val="yellow"/>
            </w:rPr>
            <w:t>⟦PORCENTAJE_OSCURO⟧</w:t>
          </w:r>
          <w:r>
            <w:t xml:space="preserve"> %</w:t>
          </w:r>
        </w:p>
      </w:sdtContent>
    </w:sdt>
    <w:p>
      <w:pPr>
        <w:pStyle w:val="Caption"/>
      </w:pPr>
      <w:r>
        <w:t>GAL-034 · Párrafo</w:t>
      </w:r>
    </w:p>
    <w:sdt>
      <w:sdtPr>
        <w:tag w:val="GAL-034"/>
        <w:alias w:val="GAL-034 — Párrafo"/>
      </w:sdtPr>
      <w:sdtContent>
        <w:p>
          <w:r>
            <w:t>Si aproximamos la masa como esférica y el movimiento como circular, M(&lt;r) ≈ v²r/G: estimamos la masa encerrada dentro del radio r a partir de la velocidad v. La galaxia tiene un disco, así que esta aproximación limita el resultado. χ² resume las diferencias con los datos considerando sus incertidumbres; N es el número de mediciones. El denominador N − 2 corresponde al ajuste de los dos parámetros del halo, no a su elección manual.</w:t>
          </w:r>
        </w:p>
      </w:sdtContent>
    </w:sdt>
    <w:p>
      <w:pPr>
        <w:pStyle w:val="Caption"/>
      </w:pPr>
      <w:r>
        <w:t>GAL-035 · Párrafo</w:t>
      </w:r>
    </w:p>
    <w:sdt>
      <w:sdtPr>
        <w:tag w:val="GAL-035"/>
        <w:alias w:val="GAL-035 — Párrafo"/>
      </w:sdtPr>
      <w:sdtContent>
        <w:p>
          <w:r>
            <w:t>La pregunta era si la materia visible alcanza. Con el cociente masa-luz inicial, su aporte queda por debajo de las velocidades exteriores observadas. El halo permite acercarnos a ellas. Este tipo de diferencia, estudiada también en Andrómeda por Rubin y Ford (1970), es una de las evidencias de materia oscura.</w:t>
          </w:r>
        </w:p>
      </w:sdtContent>
    </w:sdt>
    <w:p>
      <w:pPr>
        <w:pStyle w:val="Caption"/>
      </w:pPr>
      <w:r>
        <w:t>GAL-036 · Párrafo</w:t>
      </w:r>
    </w:p>
    <w:sdt>
      <w:sdtPr>
        <w:tag w:val="GAL-036"/>
        <w:alias w:val="GAL-036 — Párrafo"/>
      </w:sdtPr>
      <w:sdtContent>
        <w:p>
          <w:r>
            <w:t>Pero ajustar un halo no responde qué es esa materia ni descarta una descripción distinta de la gravedad, como MOND. No la implementamos. Para avanzar necesitamos otras evidencias, como las lentes gravitacionales y el Cúmulo Bala. Además, la fracción estimada corresponde a esta galaxia y a nuestros supuestos, no a todo el Universo.</w:t>
          </w:r>
        </w:p>
      </w:sdtContent>
    </w:sdt>
    <w:p>
      <w:r>
        <w:br w:type="page"/>
      </w:r>
    </w:p>
    <w:p>
      <w:pPr>
        <w:pStyle w:val="Heading1"/>
      </w:pPr>
      <w:r>
        <w:t>Universo</w:t>
      </w:r>
    </w:p>
    <w:p>
      <w:pPr>
        <w:pStyle w:val="Caption"/>
      </w:pPr>
      <w:r>
        <w:t>UNI-001 · Nombre de modelo o serie</w:t>
      </w:r>
    </w:p>
    <w:sdt>
      <w:sdtPr>
        <w:tag w:val="UNI-001"/>
        <w:alias w:val="UNI-001 — Nombre de modelo o serie"/>
      </w:sdtPr>
      <w:sdtContent>
        <w:p>
          <w:r>
            <w:t>Recolapso (Ωm = 5)</w:t>
          </w:r>
        </w:p>
      </w:sdtContent>
    </w:sdt>
    <w:p>
      <w:pPr>
        <w:pStyle w:val="Caption"/>
      </w:pPr>
      <w:r>
        <w:t>UNI-002 · Destino del escenario</w:t>
      </w:r>
    </w:p>
    <w:sdt>
      <w:sdtPr>
        <w:tag w:val="UNI-002"/>
        <w:alias w:val="UNI-002 — Destino del escenario"/>
      </w:sdtPr>
      <w:sdtContent>
        <w:p>
          <w:r>
            <w:t>La expansión se detiene y se invierte</w:t>
          </w:r>
        </w:p>
      </w:sdtContent>
    </w:sdt>
    <w:p>
      <w:pPr>
        <w:pStyle w:val="Caption"/>
      </w:pPr>
      <w:r>
        <w:t>UNI-003 · Nombre de modelo o serie</w:t>
      </w:r>
    </w:p>
    <w:sdt>
      <w:sdtPr>
        <w:tag w:val="UNI-003"/>
        <w:alias w:val="UNI-003 — Nombre de modelo o serie"/>
      </w:sdtPr>
      <w:sdtContent>
        <w:p>
          <w:r>
            <w:t>Crítico (Ωm = 1)</w:t>
          </w:r>
        </w:p>
      </w:sdtContent>
    </w:sdt>
    <w:p>
      <w:pPr>
        <w:pStyle w:val="Caption"/>
      </w:pPr>
      <w:r>
        <w:t>UNI-004 · Destino del escenario</w:t>
      </w:r>
    </w:p>
    <w:sdt>
      <w:sdtPr>
        <w:tag w:val="UNI-004"/>
        <w:alias w:val="UNI-004 — Destino del escenario"/>
      </w:sdtPr>
      <w:sdtContent>
        <w:p>
          <w:r>
            <w:t>Se expande por siempre, frenando hacia velocidad cero</w:t>
          </w:r>
        </w:p>
      </w:sdtContent>
    </w:sdt>
    <w:p>
      <w:pPr>
        <w:pStyle w:val="Caption"/>
      </w:pPr>
      <w:r>
        <w:t>UNI-005 · Nombre de modelo o serie</w:t>
      </w:r>
    </w:p>
    <w:sdt>
      <w:sdtPr>
        <w:tag w:val="UNI-005"/>
        <w:alias w:val="UNI-005 — Nombre de modelo o serie"/>
      </w:sdtPr>
      <w:sdtContent>
        <w:p>
          <w:r>
            <w:t>Abierto (Ωm = 0,3)</w:t>
          </w:r>
        </w:p>
      </w:sdtContent>
    </w:sdt>
    <w:p>
      <w:pPr>
        <w:pStyle w:val="Caption"/>
      </w:pPr>
      <w:r>
        <w:t>UNI-006 · Destino del escenario</w:t>
      </w:r>
    </w:p>
    <w:sdt>
      <w:sdtPr>
        <w:tag w:val="UNI-006"/>
        <w:alias w:val="UNI-006 — Destino del escenario"/>
      </w:sdtPr>
      <w:sdtContent>
        <w:p>
          <w:r>
            <w:t>Se expande por siempre, frenando pero sin detenerse</w:t>
          </w:r>
        </w:p>
      </w:sdtContent>
    </w:sdt>
    <w:p>
      <w:pPr>
        <w:pStyle w:val="Caption"/>
      </w:pPr>
      <w:r>
        <w:t>UNI-007 · Nombre de modelo o serie</w:t>
      </w:r>
    </w:p>
    <w:sdt>
      <w:sdtPr>
        <w:tag w:val="UNI-007"/>
        <w:alias w:val="UNI-007 — Nombre de modelo o serie"/>
      </w:sdtPr>
      <w:sdtContent>
        <w:p>
          <w:r>
            <w:t>Acelerado (Ωm = 0,31, ΩΛ = 0,69)</w:t>
          </w:r>
        </w:p>
      </w:sdtContent>
    </w:sdt>
    <w:p>
      <w:pPr>
        <w:pStyle w:val="Caption"/>
      </w:pPr>
      <w:r>
        <w:t>UNI-008 · Destino del escenario</w:t>
      </w:r>
    </w:p>
    <w:sdt>
      <w:sdtPr>
        <w:tag w:val="UNI-008"/>
        <w:alias w:val="UNI-008 — Destino del escenario"/>
      </w:sdtPr>
      <w:sdtContent>
        <w:p>
          <w:r>
            <w:t>Se expande cada vez más rápido</w:t>
          </w:r>
        </w:p>
      </w:sdtContent>
    </w:sdt>
    <w:p>
      <w:pPr>
        <w:pStyle w:val="Caption"/>
      </w:pPr>
      <w:r>
        <w:t>UNI-009 · Nombre de modelo o serie</w:t>
      </w:r>
    </w:p>
    <w:sdt>
      <w:sdtPr>
        <w:tag w:val="UNI-009"/>
        <w:alias w:val="UNI-009 — Nombre de modelo o serie"/>
      </w:sdtPr>
      <w:sdtContent>
        <w:p>
          <w:r>
            <w:t xml:space="preserve">Personalizado (Ωm = </w:t>
          </w:r>
          <w:r>
            <w:rPr>
              <w:highlight w:val="yellow"/>
            </w:rPr>
            <w:t>⟦MATERIA⟧</w:t>
          </w:r>
          <w:r>
            <w:t xml:space="preserve">, ΩΛ = </w:t>
          </w:r>
          <w:r>
            <w:rPr>
              <w:highlight w:val="yellow"/>
            </w:rPr>
            <w:t>⟦ENERGÍA_OSCURA⟧</w:t>
          </w:r>
          <w:r>
            <w:t>)</w:t>
          </w:r>
        </w:p>
      </w:sdtContent>
    </w:sdt>
    <w:p>
      <w:pPr>
        <w:pStyle w:val="Caption"/>
      </w:pPr>
      <w:r>
        <w:t>UNI-010 · Pregunta de entrada</w:t>
      </w:r>
    </w:p>
    <w:sdt>
      <w:sdtPr>
        <w:tag w:val="UNI-010"/>
        <w:alias w:val="UNI-010 — Pregunta de entrada"/>
      </w:sdtPr>
      <w:sdtContent>
        <w:p>
          <w:r>
            <w:t>¿Cómo cambia la expansión según el contenido del Universo?</w:t>
          </w:r>
        </w:p>
      </w:sdtContent>
    </w:sdt>
    <w:p>
      <w:pPr>
        <w:pStyle w:val="Caption"/>
      </w:pPr>
      <w:r>
        <w:t>UNI-011 · Qué hicimos</w:t>
      </w:r>
    </w:p>
    <w:sdt>
      <w:sdtPr>
        <w:tag w:val="UNI-011"/>
        <w:alias w:val="UNI-011 — Qué hicimos"/>
      </w:sdtPr>
      <w:sdtContent>
        <w:p>
          <w:r>
            <w:t>Representamos su tamaño relativo con el factor de escala a, cuyo valor actual fijamos en 1. Usamos una ecuación cosmológica basada en relatividad general: la materia frena la expansión y una constante cosmológica positiva puede acelerarla. Con el integrador leapfrog calculamos hacia el pasado y el futuro cuatro escenarios y uno que puedes modificar.</w:t>
          </w:r>
        </w:p>
      </w:sdtContent>
    </w:sdt>
    <w:p>
      <w:pPr>
        <w:pStyle w:val="Caption"/>
      </w:pPr>
      <w:r>
        <w:t>UNI-012 · Qué encontramos</w:t>
      </w:r>
    </w:p>
    <w:sdt>
      <w:sdtPr>
        <w:tag w:val="UNI-012"/>
        <w:alias w:val="UNI-012 — Qué encontramos"/>
      </w:sdtPr>
      <w:sdtContent>
        <w:p>
          <w:r>
            <w:t>Con H₀ = 67,4 km/s/Mpc, los escenarios crítico, abierto y acelerado tienen edades de 9,67, 11,7 y 13,86 mil millones de años. El último se acerca a los 13,8 inferidos por Planck. El escenario con más materia termina invirtiendo su expansión. No fijamos una edad que todos deban cumplir: la obtenemos de los parámetros elegidos.</w:t>
          </w:r>
        </w:p>
      </w:sdtContent>
    </w:sdt>
    <w:p>
      <w:pPr>
        <w:pStyle w:val="Caption"/>
      </w:pPr>
      <w:r>
        <w:t>UNI-013 · Párrafo</w:t>
      </w:r>
    </w:p>
    <w:sdt>
      <w:sdtPr>
        <w:tag w:val="UNI-013"/>
        <w:alias w:val="UNI-013 — Párrafo"/>
      </w:sdtPr>
      <w:sdtContent>
        <w:p>
          <w:r>
            <w:t>H₀ describe la expansión actual. Ωm representa la densidad de materia y ΩΛ la de una constante cosmológica, con la que modelamos la energía oscura; ambas se comparan con la densidad crítica, asociada a una geometría plana. Gyr significa mil millones de años y Mpc, un millón de pársecs. Aquí ignoramos la radiación, por lo que el modelo no describe las primeras etapas del Universo.</w:t>
          </w:r>
        </w:p>
      </w:sdtContent>
    </w:sdt>
    <w:p>
      <w:pPr>
        <w:pStyle w:val="Caption"/>
      </w:pPr>
      <w:r>
        <w:t>UNI-014 · Etiqueta de control o navegación</w:t>
      </w:r>
    </w:p>
    <w:sdt>
      <w:sdtPr>
        <w:tag w:val="UNI-014"/>
        <w:alias w:val="UNI-014 — Etiqueta de control o navegación"/>
      </w:sdtPr>
      <w:sdtContent>
        <w:p>
          <w:r>
            <w:t>H₀ (km/s/Mpc)</w:t>
          </w:r>
        </w:p>
      </w:sdtContent>
    </w:sdt>
    <w:p>
      <w:pPr>
        <w:pStyle w:val="Caption"/>
      </w:pPr>
      <w:r>
        <w:t>UNI-015 · Etiqueta de control o navegación</w:t>
      </w:r>
    </w:p>
    <w:sdt>
      <w:sdtPr>
        <w:tag w:val="UNI-015"/>
        <w:alias w:val="UNI-015 — Etiqueta de control o navegación"/>
      </w:sdtPr>
      <w:sdtContent>
        <w:p>
          <w:r>
            <w:t>Materia Ωm (personalizado)</w:t>
          </w:r>
        </w:p>
      </w:sdtContent>
    </w:sdt>
    <w:p>
      <w:pPr>
        <w:pStyle w:val="Caption"/>
      </w:pPr>
      <w:r>
        <w:t>UNI-016 · Etiqueta de control o navegación</w:t>
      </w:r>
    </w:p>
    <w:sdt>
      <w:sdtPr>
        <w:tag w:val="UNI-016"/>
        <w:alias w:val="UNI-016 — Etiqueta de control o navegación"/>
      </w:sdtPr>
      <w:sdtContent>
        <w:p>
          <w:r>
            <w:t>Energía oscura ΩΛ (personalizado)</w:t>
          </w:r>
        </w:p>
      </w:sdtContent>
    </w:sdt>
    <w:p>
      <w:pPr>
        <w:pStyle w:val="Caption"/>
      </w:pPr>
      <w:r>
        <w:t>UNI-017 · Etiqueta de control o navegación</w:t>
      </w:r>
    </w:p>
    <w:sdt>
      <w:sdtPr>
        <w:tag w:val="UNI-017"/>
        <w:alias w:val="UNI-017 — Etiqueta de control o navegación"/>
      </w:sdtPr>
      <w:sdtContent>
        <w:p>
          <w:r>
            <w:t>Futuro simulado</w:t>
          </w:r>
        </w:p>
      </w:sdtContent>
    </w:sdt>
    <w:p>
      <w:pPr>
        <w:pStyle w:val="Caption"/>
      </w:pPr>
      <w:r>
        <w:t>UNI-018 · Unidad del control</w:t>
      </w:r>
    </w:p>
    <w:sdt>
      <w:sdtPr>
        <w:tag w:val="UNI-018"/>
        <w:alias w:val="UNI-018 — Unidad del control"/>
      </w:sdtPr>
      <w:sdtContent>
        <w:p>
          <w:r>
            <w:t xml:space="preserve"> Gyr</w:t>
          </w:r>
        </w:p>
      </w:sdtContent>
    </w:sdt>
    <w:p>
      <w:pPr>
        <w:pStyle w:val="Caption"/>
      </w:pPr>
      <w:r>
        <w:t>UNI-019 · Pie de figura</w:t>
      </w:r>
    </w:p>
    <w:sdt>
      <w:sdtPr>
        <w:tag w:val="UNI-019"/>
        <w:alias w:val="UNI-019 — Pie de figura"/>
      </w:sdtPr>
      <w:sdtContent>
        <w:p>
          <w:r>
            <w:t xml:space="preserve">Figura 4. Factor de escala a(t) para cuatro escenarios y el personalizado, con H₀ = </w:t>
          </w:r>
          <w:r>
            <w:rPr>
              <w:highlight w:val="yellow"/>
            </w:rPr>
            <w:t>⟦CONSTANTE_HUBBLE⟧</w:t>
          </w:r>
          <w:r>
            <w:t xml:space="preserve"> km/s/Mpc. Todos pasan por a = 1 hoy. Compara cuánto tiempo ha transcurrido desde el inicio de cada expansión y cómo cambia hacia el futuro; la curva personalizada aparece discontinua.</w:t>
          </w:r>
        </w:p>
      </w:sdtContent>
    </w:sdt>
    <w:p>
      <w:pPr>
        <w:pStyle w:val="Caption"/>
      </w:pPr>
      <w:r>
        <w:t>UNI-020 · Texto del gráfico</w:t>
      </w:r>
    </w:p>
    <w:sdt>
      <w:sdtPr>
        <w:tag w:val="UNI-020"/>
        <w:alias w:val="UNI-020 — Texto del gráfico"/>
      </w:sdtPr>
      <w:sdtContent>
        <w:p>
          <w:r>
            <w:t>tiempo desde hoy (Gyr)</w:t>
          </w:r>
        </w:p>
      </w:sdtContent>
    </w:sdt>
    <w:p>
      <w:pPr>
        <w:pStyle w:val="Caption"/>
      </w:pPr>
      <w:r>
        <w:t>UNI-021 · Texto del gráfico</w:t>
      </w:r>
    </w:p>
    <w:sdt>
      <w:sdtPr>
        <w:tag w:val="UNI-021"/>
        <w:alias w:val="UNI-021 — Texto del gráfico"/>
      </w:sdtPr>
      <w:sdtContent>
        <w:p>
          <w:r>
            <w:t>factor de escala a</w:t>
          </w:r>
        </w:p>
      </w:sdtContent>
    </w:sdt>
    <w:p>
      <w:pPr>
        <w:pStyle w:val="Caption"/>
      </w:pPr>
      <w:r>
        <w:t>UNI-022 · Texto del gráfico</w:t>
      </w:r>
    </w:p>
    <w:sdt>
      <w:sdtPr>
        <w:tag w:val="UNI-022"/>
        <w:alias w:val="UNI-022 — Texto del gráfico"/>
      </w:sdtPr>
      <w:sdtContent>
        <w:p>
          <w:r>
            <w:t>hoy</w:t>
          </w:r>
        </w:p>
      </w:sdtContent>
    </w:sdt>
    <w:p>
      <w:pPr>
        <w:pStyle w:val="Caption"/>
      </w:pPr>
      <w:r>
        <w:t>UNI-023 · Encabezado de tabla</w:t>
      </w:r>
    </w:p>
    <w:sdt>
      <w:sdtPr>
        <w:tag w:val="UNI-023"/>
        <w:alias w:val="UNI-023 — Encabezado de tabla"/>
      </w:sdtPr>
      <w:sdtContent>
        <w:p>
          <w:r>
            <w:t>Universo</w:t>
          </w:r>
        </w:p>
      </w:sdtContent>
    </w:sdt>
    <w:p>
      <w:pPr>
        <w:pStyle w:val="Caption"/>
      </w:pPr>
      <w:r>
        <w:t>UNI-024 · Encabezado de tabla</w:t>
      </w:r>
    </w:p>
    <w:sdt>
      <w:sdtPr>
        <w:tag w:val="UNI-024"/>
        <w:alias w:val="UNI-024 — Encabezado de tabla"/>
      </w:sdtPr>
      <w:sdtContent>
        <w:p>
          <w:r>
            <w:t>Ωm</w:t>
          </w:r>
        </w:p>
      </w:sdtContent>
    </w:sdt>
    <w:p>
      <w:pPr>
        <w:pStyle w:val="Caption"/>
      </w:pPr>
      <w:r>
        <w:t>UNI-025 · Encabezado de tabla</w:t>
      </w:r>
    </w:p>
    <w:sdt>
      <w:sdtPr>
        <w:tag w:val="UNI-025"/>
        <w:alias w:val="UNI-025 — Encabezado de tabla"/>
      </w:sdtPr>
      <w:sdtContent>
        <w:p>
          <w:r>
            <w:t>ΩΛ</w:t>
          </w:r>
        </w:p>
      </w:sdtContent>
    </w:sdt>
    <w:p>
      <w:pPr>
        <w:pStyle w:val="Caption"/>
      </w:pPr>
      <w:r>
        <w:t>UNI-026 · Encabezado de tabla</w:t>
      </w:r>
    </w:p>
    <w:sdt>
      <w:sdtPr>
        <w:tag w:val="UNI-026"/>
        <w:alias w:val="UNI-026 — Encabezado de tabla"/>
      </w:sdtPr>
      <w:sdtContent>
        <w:p>
          <w:r>
            <w:t>Edad numérica (Gyr)</w:t>
          </w:r>
        </w:p>
      </w:sdtContent>
    </w:sdt>
    <w:p>
      <w:pPr>
        <w:pStyle w:val="Caption"/>
      </w:pPr>
      <w:r>
        <w:t>UNI-027 · Encabezado de tabla</w:t>
      </w:r>
    </w:p>
    <w:sdt>
      <w:sdtPr>
        <w:tag w:val="UNI-027"/>
        <w:alias w:val="UNI-027 — Encabezado de tabla"/>
      </w:sdtPr>
      <w:sdtContent>
        <w:p>
          <w:r>
            <w:t>Edad exacta (Gyr)</w:t>
          </w:r>
        </w:p>
      </w:sdtContent>
    </w:sdt>
    <w:p>
      <w:pPr>
        <w:pStyle w:val="Caption"/>
      </w:pPr>
      <w:r>
        <w:t>UNI-028 · Encabezado de tabla</w:t>
      </w:r>
    </w:p>
    <w:sdt>
      <w:sdtPr>
        <w:tag w:val="UNI-028"/>
        <w:alias w:val="UNI-028 — Encabezado de tabla"/>
      </w:sdtPr>
      <w:sdtContent>
        <w:p>
          <w:r>
            <w:t>Destino</w:t>
          </w:r>
        </w:p>
      </w:sdtContent>
    </w:sdt>
    <w:p>
      <w:pPr>
        <w:pStyle w:val="Caption"/>
      </w:pPr>
      <w:r>
        <w:t>UNI-029 · Texto alternativo o dinámico</w:t>
      </w:r>
    </w:p>
    <w:sdt>
      <w:sdtPr>
        <w:tag w:val="UNI-029"/>
        <w:alias w:val="UNI-029 — Texto alternativo o dinámico"/>
      </w:sdtPr>
      <w:sdtContent>
        <w:p>
          <w:r>
            <w:t>—</w:t>
          </w:r>
        </w:p>
      </w:sdtContent>
    </w:sdt>
    <w:p>
      <w:pPr>
        <w:pStyle w:val="Caption"/>
      </w:pPr>
      <w:r>
        <w:t>UNI-030 · Texto alternativo o dinámico</w:t>
      </w:r>
    </w:p>
    <w:sdt>
      <w:sdtPr>
        <w:tag w:val="UNI-030"/>
        <w:alias w:val="UNI-030 — Texto alternativo o dinámico"/>
      </w:sdtPr>
      <w:sdtContent>
        <w:p>
          <w:r>
            <w:t>Colapsa</w:t>
          </w:r>
        </w:p>
      </w:sdtContent>
    </w:sdt>
    <w:p>
      <w:pPr>
        <w:pStyle w:val="Caption"/>
      </w:pPr>
      <w:r>
        <w:t>UNI-031 · Texto alternativo o dinámico</w:t>
      </w:r>
    </w:p>
    <w:sdt>
      <w:sdtPr>
        <w:tag w:val="UNI-031"/>
        <w:alias w:val="UNI-031 — Texto alternativo o dinámico"/>
      </w:sdtPr>
      <w:sdtContent>
        <w:p>
          <w:r>
            <w:t>Se expande</w:t>
          </w:r>
        </w:p>
      </w:sdtContent>
    </w:sdt>
    <w:p>
      <w:pPr>
        <w:pStyle w:val="Caption"/>
      </w:pPr>
      <w:r>
        <w:t>UNI-032 · Párrafo</w:t>
      </w:r>
    </w:p>
    <w:sdt>
      <w:sdtPr>
        <w:tag w:val="UNI-032"/>
        <w:alias w:val="UNI-032 — Párrafo"/>
      </w:sdtPr>
      <w:sdtContent>
        <w:p>
          <w:r>
            <w:t>La edad numérica se obtiene avanzando en pasos pequeños; la exacta usa una fórmula conocida cuando está disponible. Compararlas permite comprobar el cálculo, no contrastarlo por sí solo con observaciones. Las estrellas antiguas aportan otra referencia: Valcin et al. (2020) estiman unos 13,3 Gyr para los cúmulos globulares más antiguos, con incertidumbres importantes. El Universo debe ser más viejo que sus estrellas.</w:t>
          </w:r>
        </w:p>
      </w:sdtContent>
    </w:sdt>
    <w:p>
      <w:pPr>
        <w:pStyle w:val="Caption"/>
      </w:pPr>
      <w:r>
        <w:t>UNI-033 · Párrafo</w:t>
      </w:r>
    </w:p>
    <w:sdt>
      <w:sdtPr>
        <w:tag w:val="UNI-033"/>
        <w:alias w:val="UNI-033 — Párrafo"/>
      </w:sdtPr>
      <w:sdtContent>
        <w:p>
          <w:r>
            <w:t>Reutilizar el integrador de las órbitas no convierte la cosmología en un problema de Newton. Cambiamos la ecuación y la variable que avanzamos: aquí calculamos el factor de escala. Las soluciones conocidas permiten revisar ese cálculo, mientras que las edades de estrellas y otras observaciones ayudan a evaluar el modelo.</w:t>
          </w:r>
        </w:p>
      </w:sdtContent>
    </w:sdt>
    <w:p>
      <w:pPr>
        <w:pStyle w:val="Caption"/>
      </w:pPr>
      <w:r>
        <w:t>UNI-034 · Párrafo</w:t>
      </w:r>
    </w:p>
    <w:sdt>
      <w:sdtPr>
        <w:tag w:val="UNI-034"/>
        <w:alias w:val="UNI-034 — Párrafo"/>
      </w:sdtPr>
      <w:sdtContent>
        <w:p>
          <w:r>
            <w:t>Prueba cambiar H₀ de 67,4 a 73 manteniendo la mezcla acelerada: su edad baja de 13,86 a unos 12,8 Gyr. Es una consecuencia de la tensión de Hubble, la diferencia entre valores inferidos con el fondo cósmico de microondas y con la escalera de distancias. El control permite visualizarla, no resolverla.</w:t>
          </w:r>
        </w:p>
      </w:sdtContent>
    </w:sdt>
    <w:p>
      <w:r>
        <w:br w:type="page"/>
      </w:r>
    </w:p>
    <w:p>
      <w:pPr>
        <w:pStyle w:val="Heading1"/>
      </w:pPr>
      <w:r>
        <w:t>Supernovas</w:t>
      </w:r>
    </w:p>
    <w:p>
      <w:pPr>
        <w:pStyle w:val="Caption"/>
      </w:pPr>
      <w:r>
        <w:t>SUP-001 · Nombre de modelo o serie</w:t>
      </w:r>
    </w:p>
    <w:sdt>
      <w:sdtPr>
        <w:tag w:val="SUP-001"/>
        <w:alias w:val="SUP-001 — Nombre de modelo o serie"/>
      </w:sdtPr>
      <w:sdtContent>
        <w:p>
          <w:r>
            <w:t xml:space="preserve">Personalizado (Ωm = </w:t>
          </w:r>
          <w:r>
            <w:rPr>
              <w:highlight w:val="yellow"/>
            </w:rPr>
            <w:t>⟦MATERIA⟧</w:t>
          </w:r>
          <w:r>
            <w:t xml:space="preserve">, ΩΛ = </w:t>
          </w:r>
          <w:r>
            <w:rPr>
              <w:highlight w:val="yellow"/>
            </w:rPr>
            <w:t>⟦ENERGÍA_OSCURA⟧</w:t>
          </w:r>
          <w:r>
            <w:t>)</w:t>
          </w:r>
        </w:p>
      </w:sdtContent>
    </w:sdt>
    <w:p>
      <w:pPr>
        <w:pStyle w:val="Caption"/>
      </w:pPr>
      <w:r>
        <w:t>SUP-002 · Pregunta de entrada</w:t>
      </w:r>
    </w:p>
    <w:sdt>
      <w:sdtPr>
        <w:tag w:val="SUP-002"/>
        <w:alias w:val="SUP-002 — Pregunta de entrada"/>
      </w:sdtPr>
      <w:sdtContent>
        <w:p>
          <w:r>
            <w:t>¿Qué historia de expansión se acerca más a las observaciones?</w:t>
          </w:r>
        </w:p>
      </w:sdtContent>
    </w:sdt>
    <w:p>
      <w:pPr>
        <w:pStyle w:val="Caption"/>
      </w:pPr>
      <w:r>
        <w:t>SUP-003 · Qué hicimos</w:t>
      </w:r>
    </w:p>
    <w:sdt>
      <w:sdtPr>
        <w:tag w:val="SUP-003"/>
        <w:alias w:val="SUP-003 — Qué hicimos"/>
      </w:sdtPr>
      <w:sdtContent>
        <w:p>
          <w:r>
            <w:t xml:space="preserve">Las supernovas de tipo Ia permiten estimar distancias al estandarizar su luminosidad con sus curvas de luz; no todas brillan igual. El corrimiento al rojo z mide cuánto se estiró la luz desde su emisión. Calculamos el brillo esperado en cada escenario y lo comparamos con </w:t>
          </w:r>
          <w:r>
            <w:rPr>
              <w:highlight w:val="yellow"/>
            </w:rPr>
            <w:t>⟦NÚMERO_MEDICIONES⟧</w:t>
          </w:r>
          <w:r>
            <w:t xml:space="preserve"> mediciones de Pantheon+, excluyendo las calibradoras y exigiendo z &gt; 0,01. Son filas de datos, que pueden incluir un mismo objeto.</w:t>
          </w:r>
        </w:p>
      </w:sdtContent>
    </w:sdt>
    <w:p>
      <w:pPr>
        <w:pStyle w:val="Caption"/>
      </w:pPr>
      <w:r>
        <w:t>SUP-004 · Qué hicimos</w:t>
      </w:r>
    </w:p>
    <w:sdt>
      <w:sdtPr>
        <w:tag w:val="SUP-004"/>
        <w:alias w:val="SUP-004 — Qué hicimos"/>
      </w:sdtPr>
      <w:sdtContent>
        <w:p>
          <w:r>
            <w:t>1.580</w:t>
          </w:r>
        </w:p>
      </w:sdtContent>
    </w:sdt>
    <w:p>
      <w:pPr>
        <w:pStyle w:val="Caption"/>
      </w:pPr>
      <w:r>
        <w:t>SUP-005 · Qué encontramos</w:t>
      </w:r>
    </w:p>
    <w:sdt>
      <w:sdtPr>
        <w:tag w:val="SUP-005"/>
        <w:alias w:val="SUP-005 — Qué encontramos"/>
      </w:sdtPr>
      <w:sdtContent>
        <w:p>
          <w:r>
            <w:t>Entre los cuatro escenarios de referencia, el acelerado obtiene el menor χ²</w:t>
          </w:r>
          <w:r>
            <w:rPr>
              <w:highlight w:val="yellow"/>
            </w:rPr>
            <w:t>⟦COMPARACIÓN_CHI2⟧</w:t>
          </w:r>
          <w:r>
            <w:t>. Ese valor resume las diferencias con los datos considerando sus incertidumbres: con el mismo procedimiento, menor χ² indica mejor acuerdo. La comparación ilustra la evidencia de expansión acelerada, sin reemplazar el análisis completo de Pantheon+.</w:t>
          </w:r>
        </w:p>
      </w:sdtContent>
    </w:sdt>
    <w:p>
      <w:pPr>
        <w:pStyle w:val="Caption"/>
      </w:pPr>
      <w:r>
        <w:t>SUP-006 · Qué encontramos</w:t>
      </w:r>
    </w:p>
    <w:sdt>
      <w:sdtPr>
        <w:tag w:val="SUP-006"/>
        <w:alias w:val="SUP-006 — Qué encontramos"/>
      </w:sdtPr>
      <w:sdtContent>
        <w:p>
          <w:r>
            <w:t xml:space="preserve"> (</w:t>
          </w:r>
          <w:r>
            <w:rPr>
              <w:highlight w:val="yellow"/>
            </w:rPr>
            <w:t>⟦COMPARACIÓN_CHI2⟧</w:t>
          </w:r>
          <w:r>
            <w:t xml:space="preserve">, frente a </w:t>
          </w:r>
          <w:r>
            <w:rPr>
              <w:highlight w:val="yellow"/>
            </w:rPr>
            <w:t>⟦VALOR_2⟧</w:t>
          </w:r>
          <w:r>
            <w:t xml:space="preserve"> del abierto y </w:t>
          </w:r>
          <w:r>
            <w:rPr>
              <w:highlight w:val="yellow"/>
            </w:rPr>
            <w:t>⟦VALOR_3⟧</w:t>
          </w:r>
          <w:r>
            <w:t xml:space="preserve"> del crítico)</w:t>
          </w:r>
        </w:p>
      </w:sdtContent>
    </w:sdt>
    <w:p>
      <w:pPr>
        <w:pStyle w:val="Caption"/>
      </w:pPr>
      <w:r>
        <w:t>SUP-007 · Párrafo</w:t>
      </w:r>
    </w:p>
    <w:sdt>
      <w:sdtPr>
        <w:tag w:val="SUP-007"/>
        <w:alias w:val="SUP-007 — Párrafo"/>
      </w:sdtPr>
      <w:sdtContent>
        <w:p>
          <w:r>
            <w:t>El módulo de distancia μ relaciona el brillo con la distancia: un valor mayor corresponde a una distancia mayor. H₀ describe la expansión actual, en km/s por megapársec (Mpc). En el modelo personalizado, Ωm y ΩΛ representan las densidades de materia y de una constante cosmológica, comparadas con la densidad crítica.</w:t>
          </w:r>
        </w:p>
      </w:sdtContent>
    </w:sdt>
    <w:p>
      <w:pPr>
        <w:pStyle w:val="Caption"/>
      </w:pPr>
      <w:r>
        <w:t>SUP-008 · Etiqueta de control o navegación</w:t>
      </w:r>
    </w:p>
    <w:sdt>
      <w:sdtPr>
        <w:tag w:val="SUP-008"/>
        <w:alias w:val="SUP-008 — Etiqueta de control o navegación"/>
      </w:sdtPr>
      <w:sdtContent>
        <w:p>
          <w:r>
            <w:t>H₀ (km/s/Mpc)</w:t>
          </w:r>
        </w:p>
      </w:sdtContent>
    </w:sdt>
    <w:p>
      <w:pPr>
        <w:pStyle w:val="Caption"/>
      </w:pPr>
      <w:r>
        <w:t>SUP-009 · Etiqueta de control o navegación</w:t>
      </w:r>
    </w:p>
    <w:sdt>
      <w:sdtPr>
        <w:tag w:val="SUP-009"/>
        <w:alias w:val="SUP-009 — Etiqueta de control o navegación"/>
      </w:sdtPr>
      <w:sdtContent>
        <w:p>
          <w:r>
            <w:t>Materia Ωm (personalizado)</w:t>
          </w:r>
        </w:p>
      </w:sdtContent>
    </w:sdt>
    <w:p>
      <w:pPr>
        <w:pStyle w:val="Caption"/>
      </w:pPr>
      <w:r>
        <w:t>SUP-010 · Etiqueta de control o navegación</w:t>
      </w:r>
    </w:p>
    <w:sdt>
      <w:sdtPr>
        <w:tag w:val="SUP-010"/>
        <w:alias w:val="SUP-010 — Etiqueta de control o navegación"/>
      </w:sdtPr>
      <w:sdtContent>
        <w:p>
          <w:r>
            <w:t>Energía oscura ΩΛ (personalizado)</w:t>
          </w:r>
        </w:p>
      </w:sdtContent>
    </w:sdt>
    <w:p>
      <w:pPr>
        <w:pStyle w:val="Caption"/>
      </w:pPr>
      <w:r>
        <w:t>SUP-011 · Etiqueta</w:t>
      </w:r>
    </w:p>
    <w:sdt>
      <w:sdtPr>
        <w:tag w:val="SUP-011"/>
        <w:alias w:val="SUP-011 — Etiqueta"/>
      </w:sdtPr>
      <w:sdtContent>
        <w:p>
          <w:r>
            <w:t>Mostrar incertidumbres individuales</w:t>
          </w:r>
        </w:p>
      </w:sdtContent>
    </w:sdt>
    <w:p>
      <w:pPr>
        <w:pStyle w:val="Caption"/>
      </w:pPr>
      <w:r>
        <w:t>SUP-012 · Pie de figura</w:t>
      </w:r>
    </w:p>
    <w:sdt>
      <w:sdtPr>
        <w:tag w:val="SUP-012"/>
        <w:alias w:val="SUP-012 — Pie de figura"/>
      </w:sdtPr>
      <w:sdtContent>
        <w:p>
          <w:r>
            <w:t xml:space="preserve">Figura 5a. Diagrama de Hubble con </w:t>
          </w:r>
          <w:r>
            <w:rPr>
              <w:highlight w:val="yellow"/>
            </w:rPr>
            <w:t>⟦NÚMERO_MEDICIONES⟧</w:t>
          </w:r>
          <w:r>
            <w:t xml:space="preserve"> mediciones de Pantheon+: módulo de distancia μ frente al corrimiento al rojo z. Comparamos los datos con cuatro escenarios y el personalizado. Cada curva lleva un desplazamiento constante δ, elegido para ajustar la calibración del brillo.</w:t>
          </w:r>
        </w:p>
      </w:sdtContent>
    </w:sdt>
    <w:p>
      <w:pPr>
        <w:pStyle w:val="Caption"/>
      </w:pPr>
      <w:r>
        <w:t>SUP-013 · Nombre de modelo o serie</w:t>
      </w:r>
    </w:p>
    <w:sdt>
      <w:sdtPr>
        <w:tag w:val="SUP-013"/>
        <w:alias w:val="SUP-013 — Nombre de modelo o serie"/>
      </w:sdtPr>
      <w:sdtContent>
        <w:p>
          <w:r>
            <w:t>Pantheon+ (datos)</w:t>
          </w:r>
        </w:p>
      </w:sdtContent>
    </w:sdt>
    <w:p>
      <w:pPr>
        <w:pStyle w:val="Caption"/>
      </w:pPr>
      <w:r>
        <w:t>SUP-014 · Texto del gráfico</w:t>
      </w:r>
    </w:p>
    <w:sdt>
      <w:sdtPr>
        <w:tag w:val="SUP-014"/>
        <w:alias w:val="SUP-014 — Texto del gráfico"/>
      </w:sdtPr>
      <w:sdtContent>
        <w:p>
          <w:r>
            <w:t>corrimiento al rojo z</w:t>
          </w:r>
        </w:p>
      </w:sdtContent>
    </w:sdt>
    <w:p>
      <w:pPr>
        <w:pStyle w:val="Caption"/>
      </w:pPr>
      <w:r>
        <w:t>SUP-015 · Texto del gráfico</w:t>
      </w:r>
    </w:p>
    <w:sdt>
      <w:sdtPr>
        <w:tag w:val="SUP-015"/>
        <w:alias w:val="SUP-015 — Texto del gráfico"/>
      </w:sdtPr>
      <w:sdtContent>
        <w:p>
          <w:r>
            <w:t>módulo de distancia μ (mag)</w:t>
          </w:r>
        </w:p>
      </w:sdtContent>
    </w:sdt>
    <w:p>
      <w:pPr>
        <w:pStyle w:val="Caption"/>
      </w:pPr>
      <w:r>
        <w:t>SUP-016 · Pie de figura</w:t>
      </w:r>
    </w:p>
    <w:sdt>
      <w:sdtPr>
        <w:tag w:val="SUP-016"/>
        <w:alias w:val="SUP-016 — Pie de figura"/>
      </w:sdtPr>
      <w:sdtContent>
        <w:p>
          <w:r>
            <w:t>Figura 5b. Diferencias respecto de un universo vacío de referencia (Ωm = ΩΛ = 0), representado por la línea cero. Agrupamos los datos por intervalos de z y mostramos su promedio ponderado con incertidumbres. Restar la referencia hace más visible la separación entre curvas, pero no agrega una prueba estadística.</w:t>
          </w:r>
        </w:p>
      </w:sdtContent>
    </w:sdt>
    <w:p>
      <w:pPr>
        <w:pStyle w:val="Caption"/>
      </w:pPr>
      <w:r>
        <w:t>SUP-017 · Nombre de modelo o serie</w:t>
      </w:r>
    </w:p>
    <w:sdt>
      <w:sdtPr>
        <w:tag w:val="SUP-017"/>
        <w:alias w:val="SUP-017 — Nombre de modelo o serie"/>
      </w:sdtPr>
      <w:sdtContent>
        <w:p>
          <w:r>
            <w:t>Pantheon+ (cada medición)</w:t>
          </w:r>
        </w:p>
      </w:sdtContent>
    </w:sdt>
    <w:p>
      <w:pPr>
        <w:pStyle w:val="Caption"/>
      </w:pPr>
      <w:r>
        <w:t>SUP-018 · Nombre de modelo o serie</w:t>
      </w:r>
    </w:p>
    <w:sdt>
      <w:sdtPr>
        <w:tag w:val="SUP-018"/>
        <w:alias w:val="SUP-018 — Nombre de modelo o serie"/>
      </w:sdtPr>
      <w:sdtContent>
        <w:p>
          <w:r>
            <w:t>Pantheon+ (promedio por intervalo)</w:t>
          </w:r>
        </w:p>
      </w:sdtContent>
    </w:sdt>
    <w:p>
      <w:pPr>
        <w:pStyle w:val="Caption"/>
      </w:pPr>
      <w:r>
        <w:t>SUP-019 · Texto del gráfico</w:t>
      </w:r>
    </w:p>
    <w:sdt>
      <w:sdtPr>
        <w:tag w:val="SUP-019"/>
        <w:alias w:val="SUP-019 — Texto del gráfico"/>
      </w:sdtPr>
      <w:sdtContent>
        <w:p>
          <w:r>
            <w:rPr>
              <w:highlight w:val="yellow"/>
            </w:rPr>
            <w:t>⟦MEDICIONES_DEL_INTERVALO⟧</w:t>
          </w:r>
          <w:r>
            <w:t xml:space="preserve"> mediciones</w:t>
          </w:r>
        </w:p>
      </w:sdtContent>
    </w:sdt>
    <w:p>
      <w:pPr>
        <w:pStyle w:val="Caption"/>
      </w:pPr>
      <w:r>
        <w:t>SUP-020 · Texto del gráfico</w:t>
      </w:r>
    </w:p>
    <w:sdt>
      <w:sdtPr>
        <w:tag w:val="SUP-020"/>
        <w:alias w:val="SUP-020 — Texto del gráfico"/>
      </w:sdtPr>
      <w:sdtContent>
        <w:p>
          <w:r>
            <w:t>corrimiento al rojo z</w:t>
          </w:r>
        </w:p>
      </w:sdtContent>
    </w:sdt>
    <w:p>
      <w:pPr>
        <w:pStyle w:val="Caption"/>
      </w:pPr>
      <w:r>
        <w:t>SUP-021 · Texto del gráfico</w:t>
      </w:r>
    </w:p>
    <w:sdt>
      <w:sdtPr>
        <w:tag w:val="SUP-021"/>
        <w:alias w:val="SUP-021 — Texto del gráfico"/>
      </w:sdtPr>
      <w:sdtContent>
        <w:p>
          <w:r>
            <w:t>Δμ respecto al universo vacío (mag)</w:t>
          </w:r>
        </w:p>
      </w:sdtContent>
    </w:sdt>
    <w:p>
      <w:pPr>
        <w:pStyle w:val="Caption"/>
      </w:pPr>
      <w:r>
        <w:t>SUP-022 · Encabezado de tabla</w:t>
      </w:r>
    </w:p>
    <w:sdt>
      <w:sdtPr>
        <w:tag w:val="SUP-022"/>
        <w:alias w:val="SUP-022 — Encabezado de tabla"/>
      </w:sdtPr>
      <w:sdtContent>
        <w:p>
          <w:r>
            <w:t>Modelo</w:t>
          </w:r>
        </w:p>
      </w:sdtContent>
    </w:sdt>
    <w:p>
      <w:pPr>
        <w:pStyle w:val="Caption"/>
      </w:pPr>
      <w:r>
        <w:t>SUP-023 · Encabezado de tabla</w:t>
      </w:r>
    </w:p>
    <w:sdt>
      <w:sdtPr>
        <w:tag w:val="SUP-023"/>
        <w:alias w:val="SUP-023 — Encabezado de tabla"/>
      </w:sdtPr>
      <w:sdtContent>
        <w:p>
          <w:r>
            <w:t>Ωm</w:t>
          </w:r>
        </w:p>
      </w:sdtContent>
    </w:sdt>
    <w:p>
      <w:pPr>
        <w:pStyle w:val="Caption"/>
      </w:pPr>
      <w:r>
        <w:t>SUP-024 · Encabezado de tabla</w:t>
      </w:r>
    </w:p>
    <w:sdt>
      <w:sdtPr>
        <w:tag w:val="SUP-024"/>
        <w:alias w:val="SUP-024 — Encabezado de tabla"/>
      </w:sdtPr>
      <w:sdtContent>
        <w:p>
          <w:r>
            <w:t>ΩΛ</w:t>
          </w:r>
        </w:p>
      </w:sdtContent>
    </w:sdt>
    <w:p>
      <w:pPr>
        <w:pStyle w:val="Caption"/>
      </w:pPr>
      <w:r>
        <w:t>SUP-025 · Encabezado de tabla</w:t>
      </w:r>
    </w:p>
    <w:sdt>
      <w:sdtPr>
        <w:tag w:val="SUP-025"/>
        <w:alias w:val="SUP-025 — Encabezado de tabla"/>
      </w:sdtPr>
      <w:sdtContent>
        <w:p>
          <w:r>
            <w:t>χ²</w:t>
          </w:r>
        </w:p>
      </w:sdtContent>
    </w:sdt>
    <w:p>
      <w:pPr>
        <w:pStyle w:val="Caption"/>
      </w:pPr>
      <w:r>
        <w:t>SUP-026 · Encabezado de tabla</w:t>
      </w:r>
    </w:p>
    <w:sdt>
      <w:sdtPr>
        <w:tag w:val="SUP-026"/>
        <w:alias w:val="SUP-026 — Encabezado de tabla"/>
      </w:sdtPr>
      <w:sdtContent>
        <w:p>
          <w:r>
            <w:t>χ²/N</w:t>
          </w:r>
        </w:p>
      </w:sdtContent>
    </w:sdt>
    <w:p>
      <w:pPr>
        <w:pStyle w:val="Caption"/>
      </w:pPr>
      <w:r>
        <w:t>SUP-027 · Encabezado de tabla</w:t>
      </w:r>
    </w:p>
    <w:sdt>
      <w:sdtPr>
        <w:tag w:val="SUP-027"/>
        <w:alias w:val="SUP-027 — Encabezado de tabla"/>
      </w:sdtPr>
      <w:sdtContent>
        <w:p>
          <w:r>
            <w:t>δ (mag)</w:t>
          </w:r>
        </w:p>
      </w:sdtContent>
    </w:sdt>
    <w:p>
      <w:pPr>
        <w:pStyle w:val="Caption"/>
      </w:pPr>
      <w:r>
        <w:t>SUP-028 · Párrafo</w:t>
      </w:r>
    </w:p>
    <w:sdt>
      <w:sdtPr>
        <w:tag w:val="SUP-028"/>
        <w:alias w:val="SUP-028 — Párrafo"/>
      </w:sdtPr>
      <w:sdtContent>
        <w:p>
          <w:r>
            <w:t>δ es el desplazamiento vertical que mejor ajusta cada curva. Las distancias usadas están calibradas con Cefeidas de SH0ES, con H₀ cercano a 73; al usar 67,4 esperamos una diferencia de calibración de unos −0,17 mag. El ajuste también depende de la forma del modelo. Como dejamos libre δ, comparamos sobre todo la forma de las curvas, no medimos H₀ de manera independiente. Usamos incertidumbres individuales sin sus correlaciones: cómo se relacionan los errores entre mediciones.</w:t>
          </w:r>
        </w:p>
      </w:sdtContent>
    </w:sdt>
    <w:p>
      <w:pPr>
        <w:pStyle w:val="Caption"/>
      </w:pPr>
      <w:r>
        <w:t>SUP-029 · Párrafo</w:t>
      </w:r>
    </w:p>
    <w:sdt>
      <w:sdtPr>
        <w:tag w:val="SUP-029"/>
        <w:alias w:val="SUP-029 — Párrafo"/>
      </w:sdtPr>
      <w:sdtContent>
        <w:p>
          <w:r>
            <w:t>A fin de cuentas, el recorrido conecta dos tareas: comprobar lo que calcula un programa y comparar sus predicciones con observaciones. Kepler nos dio una referencia conocida; NGC 3198 permitió revisar el aporte de la materia visible; las supernovas permiten contrastar distintas historias de expansión.</w:t>
          </w:r>
        </w:p>
      </w:sdtContent>
    </w:sdt>
    <w:p>
      <w:pPr>
        <w:pStyle w:val="Caption"/>
      </w:pPr>
      <w:r>
        <w:t>SUP-030 · Párrafo</w:t>
      </w:r>
    </w:p>
    <w:sdt>
      <w:sdtPr>
        <w:tag w:val="SUP-030"/>
        <w:alias w:val="SUP-030 — Párrafo"/>
      </w:sdtPr>
      <w:sdtContent>
        <w:p>
          <w:r>
            <w:t>El escenario acelerado sigue mejor estos datos entre los modelos de referencia elegidos. Eso no demuestra qué es la energía oscura ni descarta todas las alternativas. Las distancias requieren relatividad general y el análisis completo debe considerar las correlaciones de los errores. La herramienta ayuda a seguir el razonamiento, no sustituye esa investigación.</w:t>
          </w:r>
        </w:p>
      </w:sdtContent>
    </w:sdt>
    <w:p>
      <w:pPr>
        <w:pStyle w:val="Heading1"/>
      </w:pPr>
      <w:r>
        <w:t>Rótulos compartidos</w:t>
      </w:r>
    </w:p>
    <w:p>
      <w:pPr>
        <w:pStyle w:val="Caption"/>
      </w:pPr>
      <w:r>
        <w:t>COM-001 · Descripción accesible</w:t>
      </w:r>
    </w:p>
    <w:sdt>
      <w:sdtPr>
        <w:tag w:val="COM-001"/>
        <w:alias w:val="COM-001 — Descripción accesible"/>
      </w:sdtPr>
      <w:sdtContent>
        <w:p>
          <w:r>
            <w:t>Argumento</w:t>
          </w:r>
        </w:p>
      </w:sdtContent>
    </w:sdt>
    <w:p>
      <w:pPr>
        <w:pStyle w:val="Caption"/>
      </w:pPr>
      <w:r>
        <w:t>COM-002 · Párrafo</w:t>
      </w:r>
    </w:p>
    <w:sdt>
      <w:sdtPr>
        <w:tag w:val="COM-002"/>
        <w:alias w:val="COM-002 — Párrafo"/>
      </w:sdtPr>
      <w:sdtContent>
        <w:p>
          <w:r>
            <w:t>Qué hicimos</w:t>
          </w:r>
        </w:p>
      </w:sdtContent>
    </w:sdt>
    <w:p>
      <w:pPr>
        <w:pStyle w:val="Caption"/>
      </w:pPr>
      <w:r>
        <w:t>COM-003 · Párrafo</w:t>
      </w:r>
    </w:p>
    <w:sdt>
      <w:sdtPr>
        <w:tag w:val="COM-003"/>
        <w:alias w:val="COM-003 — Párrafo"/>
      </w:sdtPr>
      <w:sdtContent>
        <w:p>
          <w:r>
            <w:t>Qué encontramos</w:t>
          </w:r>
        </w:p>
      </w:sdtContent>
    </w:sdt>
    <w:p>
      <w:pPr>
        <w:pStyle w:val="Caption"/>
      </w:pPr>
      <w:r>
        <w:t>COM-004 · Descripción accesible</w:t>
      </w:r>
    </w:p>
    <w:sdt>
      <w:sdtPr>
        <w:tag w:val="COM-004"/>
        <w:alias w:val="COM-004 — Descripción accesible"/>
      </w:sdtPr>
      <w:sdtContent>
        <w:p>
          <w:r>
            <w:t>Por qué importa</w:t>
          </w:r>
        </w:p>
      </w:sdtContent>
    </w:sdt>
    <w:p>
      <w:pPr>
        <w:pStyle w:val="Caption"/>
      </w:pPr>
      <w:r>
        <w:t>COM-005 · Párrafo</w:t>
      </w:r>
    </w:p>
    <w:sdt>
      <w:sdtPr>
        <w:tag w:val="COM-005"/>
        <w:alias w:val="COM-005 — Párrafo"/>
      </w:sdtPr>
      <w:sdtContent>
        <w:p>
          <w:r>
            <w:t>Por qué importa</w:t>
          </w:r>
        </w:p>
      </w:sdtContent>
    </w:sdt>
    <w:p>
      <w:pPr>
        <w:pStyle w:val="Heading1"/>
      </w:pPr>
      <w:r>
        <w:t>Mensajes y estados</w:t>
      </w:r>
    </w:p>
    <w:p>
      <w:pPr>
        <w:pStyle w:val="Caption"/>
      </w:pPr>
      <w:r>
        <w:t>EST-001 · Aviso completo</w:t>
      </w:r>
    </w:p>
    <w:sdt>
      <w:sdtPr>
        <w:tag w:val="EST-001"/>
        <w:alias w:val="EST-001 — Aviso completo"/>
      </w:sdtPr>
      <w:sdtContent>
        <w:p>
          <w:r>
            <w:t xml:space="preserve">Este cálculo aún no está disponible. Falta implementar la función </w:t>
          </w:r>
          <w:r>
            <w:rPr>
              <w:highlight w:val="yellow"/>
            </w:rPr>
            <w:t>⟦FUNCIÓN_PENDIENTE⟧</w:t>
          </w:r>
          <w:r>
            <w:t>. Si estás trabajando en el código, ejecuta pytest en core/ para revisar las pruebas pendientes.</w:t>
          </w:r>
        </w:p>
      </w:sdtContent>
    </w:sdt>
    <w:p>
      <w:pPr>
        <w:pStyle w:val="Caption"/>
      </w:pPr>
      <w:r>
        <w:t>EST-002 · Aviso completo</w:t>
      </w:r>
    </w:p>
    <w:sdt>
      <w:sdtPr>
        <w:tag w:val="EST-002"/>
        <w:alias w:val="EST-002 — Aviso completo"/>
      </w:sdtPr>
      <w:sdtContent>
        <w:p>
          <w:r>
            <w:t xml:space="preserve">No pudimos completar el cálculo. Recarga la página para volver a intentarlo. Si el problema continúa, informa el error en el repositorio e incluye este mensaje: </w:t>
          </w:r>
          <w:r>
            <w:rPr>
              <w:highlight w:val="yellow"/>
            </w:rPr>
            <w:t>⟦DETALLE_ERROR⟧</w:t>
          </w:r>
        </w:p>
      </w:sdtContent>
    </w:sdt>
    <w:p>
      <w:pPr>
        <w:pStyle w:val="Heading1"/>
      </w:pPr>
      <w:r>
        <w:t>Inicio del motor</w:t>
      </w:r>
    </w:p>
    <w:p>
      <w:pPr>
        <w:pStyle w:val="Caption"/>
      </w:pPr>
      <w:r>
        <w:t>INI-001 · Detalle de error</w:t>
      </w:r>
    </w:p>
    <w:sdt>
      <w:sdtPr>
        <w:tag w:val="INI-001"/>
        <w:alias w:val="INI-001 — Detalle de error"/>
      </w:sdtPr>
      <w:sdtContent>
        <w:p>
          <w:r>
            <w:t xml:space="preserve">No se pudo leer </w:t>
          </w:r>
          <w:r>
            <w:rPr>
              <w:highlight w:val="yellow"/>
            </w:rPr>
            <w:t>⟦ARCHIVO⟧</w:t>
          </w:r>
          <w:r>
            <w:t xml:space="preserve"> (</w:t>
          </w:r>
          <w:r>
            <w:rPr>
              <w:highlight w:val="yellow"/>
            </w:rPr>
            <w:t>⟦CÓDIGO_HTTP⟧</w:t>
          </w:r>
          <w:r>
            <w:t>)</w:t>
          </w:r>
        </w:p>
      </w:sdtContent>
    </w:sdt>
    <w:p>
      <w:pPr>
        <w:pStyle w:val="Caption"/>
      </w:pPr>
      <w:r>
        <w:t>INI-002 · Mensaje de carga</w:t>
      </w:r>
    </w:p>
    <w:sdt>
      <w:sdtPr>
        <w:tag w:val="INI-002"/>
        <w:alias w:val="INI-002 — Mensaje de carga"/>
      </w:sdtPr>
      <w:sdtContent>
        <w:p>
          <w:r>
            <w:t>Cargando Python (Pyodide)…</w:t>
          </w:r>
        </w:p>
      </w:sdtContent>
    </w:sdt>
    <w:p>
      <w:pPr>
        <w:pStyle w:val="Caption"/>
      </w:pPr>
      <w:r>
        <w:t>INI-003 · Mensaje de carga</w:t>
      </w:r>
    </w:p>
    <w:sdt>
      <w:sdtPr>
        <w:tag w:val="INI-003"/>
        <w:alias w:val="INI-003 — Mensaje de carga"/>
      </w:sdtPr>
      <w:sdtContent>
        <w:p>
          <w:r>
            <w:t>Cargando numpy…</w:t>
          </w:r>
        </w:p>
      </w:sdtContent>
    </w:sdt>
    <w:p>
      <w:pPr>
        <w:pStyle w:val="Caption"/>
      </w:pPr>
      <w:r>
        <w:t>INI-004 · Mensaje de carga</w:t>
      </w:r>
    </w:p>
    <w:sdt>
      <w:sdtPr>
        <w:tag w:val="INI-004"/>
        <w:alias w:val="INI-004 — Mensaje de carga"/>
      </w:sdtPr>
      <w:sdtContent>
        <w:p>
          <w:r>
            <w:t>Preparando los cálculos…</w:t>
          </w:r>
        </w:p>
      </w:sdtContent>
    </w:sdt>
    <w:p>
      <w:pPr>
        <w:pStyle w:val="Caption"/>
      </w:pPr>
      <w:r>
        <w:t>INI-005 · Mensaje de carga</w:t>
      </w:r>
    </w:p>
    <w:sdt>
      <w:sdtPr>
        <w:tag w:val="INI-005"/>
        <w:alias w:val="INI-005 — Mensaje de carga"/>
      </w:sdtPr>
      <w:sdtContent>
        <w:p>
          <w:r>
            <w:t>Cargando datos de galaxia y supernovas…</w:t>
          </w:r>
        </w:p>
      </w:sdtContent>
    </w:sdt>
    <w:p>
      <w:pPr>
        <w:pStyle w:val="Caption"/>
      </w:pPr>
      <w:r>
        <w:t>INI-006 · Mensaje de carga</w:t>
      </w:r>
    </w:p>
    <w:sdt>
      <w:sdtPr>
        <w:tag w:val="INI-006"/>
        <w:alias w:val="INI-006 — Mensaje de carga"/>
      </w:sdtPr>
      <w:sdtContent>
        <w:p>
          <w:r>
            <w:t>Listo</w:t>
          </w:r>
        </w:p>
      </w:sdtContent>
    </w:sdt>
    <w:p>
      <w:pPr>
        <w:pStyle w:val="Caption"/>
      </w:pPr>
      <w:r>
        <w:t>INI-007 · Mensaje de carga</w:t>
      </w:r>
    </w:p>
    <w:sdt>
      <w:sdtPr>
        <w:tag w:val="INI-007"/>
        <w:alias w:val="INI-007 — Mensaje de carga"/>
      </w:sdtPr>
      <w:sdtContent>
        <w:p>
          <w:r>
            <w:t xml:space="preserve">No pudimos iniciar Python. Recarga la página para reintentar. Detalle: </w:t>
          </w:r>
          <w:r>
            <w:rPr>
              <w:highlight w:val="yellow"/>
            </w:rPr>
            <w:t>⟦DETALLE_ERROR⟧</w:t>
          </w:r>
        </w:p>
      </w:sdtContent>
    </w:sdt>
    <w:p>
      <w:pPr>
        <w:pStyle w:val="Heading1"/>
      </w:pPr>
      <w:r>
        <w:t>Estado inicial de carga</w:t>
      </w:r>
    </w:p>
    <w:p>
      <w:pPr>
        <w:pStyle w:val="Caption"/>
      </w:pPr>
      <w:r>
        <w:t>CAR-001 · Texto del gráfico</w:t>
      </w:r>
    </w:p>
    <w:sdt>
      <w:sdtPr>
        <w:tag w:val="CAR-001"/>
        <w:alias w:val="CAR-001 — Texto del gráfico"/>
      </w:sdtPr>
      <w:sdtContent>
        <w:p>
          <w:r>
            <w:t>Iniciando…</w:t>
          </w:r>
        </w:p>
      </w:sdtContent>
    </w:sdt>
    <w:p>
      <w:pPr>
        <w:pStyle w:val="Heading1"/>
      </w:pPr>
      <w:r>
        <w:t>Título del navegador y descripción</w:t>
      </w:r>
    </w:p>
    <w:p>
      <w:pPr>
        <w:pStyle w:val="Caption"/>
      </w:pPr>
      <w:r>
        <w:t>MET-001 · Título de la pestaña del navegador</w:t>
      </w:r>
    </w:p>
    <w:sdt>
      <w:sdtPr>
        <w:tag w:val="MET-001"/>
        <w:alias w:val="MET-001 — Título de la pestaña del navegador"/>
      </w:sdtPr>
      <w:sdtContent>
        <w:p>
          <w:r>
            <w:t>Una sola gravedad, tres escalas</w:t>
          </w:r>
        </w:p>
      </w:sdtContent>
    </w:sdt>
    <w:p>
      <w:pPr>
        <w:pStyle w:val="Caption"/>
      </w:pPr>
      <w:r>
        <w:t>MET-002 · Descripción para buscadores</w:t>
      </w:r>
    </w:p>
    <w:sdt>
      <w:sdtPr>
        <w:tag w:val="MET-002"/>
        <w:alias w:val="MET-002 — Descripción para buscadores"/>
      </w:sdtPr>
      <w:sdtContent>
        <w:p>
          <w:r>
            <w:t>¿Qué podemos entender del Universo a partir de un programa? Explora órbitas, rotación de galaxias y expansión con datos reales y cálculos que puedes revisar. Proyecto AST101, UC.</w:t>
          </w:r>
        </w:p>
      </w:sdtContent>
    </w:sdt>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60"/>
    </w:pPr>
    <w:rPr>
      <w:b/>
      <w:bCs/>
      <w:i w:val="0"/>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Textos de la página — Una sola gravedad, tres escalas</dc:title>
  <dc:subject>Edición de textos de la web; documento independiente del informe AST101</dc:subject>
  <dc:creator>José Santiago Garrillo Fernández</dc:creator>
  <cp:keywords/>
  <dc:description>generated by python-docx</dc:description>
  <cp:lastModifiedBy/>
  <cp:revision>1</cp:revision>
  <dcterms:created xsi:type="dcterms:W3CDTF">2013-12-23T23:15:00Z</dcterms:created>
  <dcterms:modified xsi:type="dcterms:W3CDTF">2013-12-23T23:15:00Z</dcterms:modified>
  <cp:category/>
</cp:coreProperties>
</file>