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rx30v17jrkbrbq1g350vt">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The model does not score either. </w:t>
      </w:r>
      <w:r>
        <w:t xml:space="preserve">The first prompt asked it to weight a differential “by clinical proximity” — a number the source text does not contain, invented by the model, in a pipeline whose first rule is to invent nothing. Extraction (extract-v2) now records only which diagnosis the source establishes; score weights are assigned afterwards by an explicit deterministic policy, so the number is a product decision an editor can change rather than a model guess.</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"extract-v2",</w:t>
      </w:r>
    </w:p>
    <w:p>
      <w:pPr>
        <w:shd w:fill="F4F6F8" w:val="clear"/>
        <w:spacing w:after="0" w:line="240"/>
        <w:ind w:left="180"/>
      </w:pPr>
      <w:r>
        <w:rPr>
          <w:rFonts w:ascii="Consolas" w:cs="Consolas" w:eastAsia="Consolas" w:hAnsi="Consolas"/>
          <w:sz w:val="19"/>
          <w:szCs w:val="19"/>
        </w:rPr>
        <w:t xml:space="preserve">  "total": 10, "scored": 9, "provider_errors": 0, "model_blocked": 0,</w:t>
      </w:r>
    </w:p>
    <w:p>
      <w:pPr>
        <w:shd w:fill="F4F6F8" w:val="clear"/>
        <w:spacing w:after="0" w:line="240"/>
        <w:ind w:left="180"/>
      </w:pPr>
      <w:r>
        <w:rPr>
          <w:rFonts w:ascii="Consolas" w:cs="Consolas" w:eastAsia="Consolas" w:hAnsi="Consolas"/>
          <w:sz w:val="19"/>
          <w:szCs w:val="19"/>
        </w:rPr>
        <w:t xml:space="preserve">  "schema_valid_rate": 0.9, "age_accuracy": 0.8889, "sex_accuracy": 1.0,</w:t>
      </w:r>
    </w:p>
    <w:p>
      <w:pPr>
        <w:shd w:fill="F4F6F8" w:val="clear"/>
        <w:spacing w:after="0" w:line="240"/>
        <w:ind w:left="180"/>
      </w:pPr>
      <w:r>
        <w:rPr>
          <w:rFonts w:ascii="Consolas" w:cs="Consolas" w:eastAsia="Consolas" w:hAnsi="Consolas"/>
          <w:sz w:val="19"/>
          <w:szCs w:val="19"/>
        </w:rPr>
        <w:t xml:space="preserve">  "answer_key_accuracy": 0.8889, "findings_f1": 0.9899,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Three images, all multi-stage and running as a non-root user. backend and frontend are services; llm_pipeline is a batch container whose entry point is the extraction CLI, deployed as a Cloud Run Job rather than a service: extraction is authoring work, not request-path work, so it should neither idle nor be able to take traffic.</w:t>
      </w:r>
    </w:p>
    <w:p>
      <w:pPr>
        <w:spacing w:after="120" w:line="276"/>
      </w:pPr>
      <w:r>
        <w:t xml:space="preserve">For the two services: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four least-privilege service accounts → migrations as a Cloud Run Job → backend and frontend services → the extraction Job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--no-allow-unauthenticated, and only the frontend's service account holds roles/run.invoker on it. Ingress is all, deliberately: IAM closes the service on any network, whereas internal ingress is a network control that would require the frontend to egress through a VPC — without that it does not harden the service, it breaks it. One lock that works rather than two where one is wrong.</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 And the application then has to use that path: it connects to the instance's private address on 5432 as an ordinary PostgreSQL client, with TLS required on the instance. The managed /cloudsql Unix socket is the Auth Proxy's public-IP path, and a runbook that pairs it with a private-only instance has two half-paths and no connection. The runbook now has one.</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112 passed, coverage 95.02%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decision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eval-decisions</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2 injected verifier misjudgments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Live extraction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gemini --delay 7</w:t>
            </w:r>
          </w:p>
        </w:tc>
        <w:tc>
          <w:tcPr>
            <w:tcW w:type="dxa" w:w="3360"/>
            <w:tcMar>
              <w:top w:type="dxa" w:w="80"/>
              <w:left w:type="dxa" w:w="120"/>
              <w:bottom w:type="dxa" w:w="80"/>
              <w:right w:type="dxa" w:w="120"/>
            </w:tcMar>
          </w:tcPr>
          <w:p>
            <w:pPr>
              <w:spacing w:after="0" w:line="240"/>
            </w:pPr>
            <w:r>
              <w:rPr>
                <w:b w:val="false"/>
                <w:bCs w:val="false"/>
                <w:sz w:val="20"/>
                <w:szCs w:val="20"/>
              </w:rPr>
              <w:t xml:space="preserve">extract-v2, 10/10 scored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Extraction container</w:t>
            </w:r>
          </w:p>
        </w:tc>
        <w:tc>
          <w:tcPr>
            <w:tcW w:type="dxa" w:w="3300"/>
            <w:tcMar>
              <w:top w:type="dxa" w:w="80"/>
              <w:left w:type="dxa" w:w="120"/>
              <w:bottom w:type="dxa" w:w="80"/>
              <w:right w:type="dxa" w:w="120"/>
            </w:tcMar>
          </w:tcPr>
          <w:p>
            <w:pPr>
              <w:spacing w:after="0" w:line="240"/>
            </w:pPr>
            <w:r>
              <w:rPr>
                <w:b w:val="false"/>
                <w:bCs w:val="false"/>
                <w:sz w:val="20"/>
                <w:szCs w:val="20"/>
              </w:rPr>
              <w:t xml:space="preserve">docker run eximion-llm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uid 1001, eval passes in-container</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Jev (TypeSafe) live. </w:t>
      </w:r>
      <w:r>
        <w:t xml:space="preserve">The decision layer added after the interview is tested against the real TypeSafe SDK with a mocked HTTP layer, and its eval runs offline. No TypeSafe key was available, so there is no live Jev measurement yet. See docs/DECISION_MODEL_MIGRATION.md.</w:t>
      </w:r>
    </w:p>
    <w:p>
      <w:pPr>
        <w:spacing w:after="120" w:line="276"/>
      </w:pPr>
      <w:r>
        <w:rPr>
          <w:b/>
          <w:bCs/>
        </w:rPr>
        <w:t xml:space="preserve">Since executed: </w:t>
      </w:r>
      <w:r>
        <w:t xml:space="preserve">a complete live run of the current prompt, extract-v2, all ten cases, committed as evals/results/gemini-2.5-flash-extract-v2.json: schema 10/10, age and sex 1.0, answer key 0.9, findings F1 0.51 by token overlap, category accuracy 0.97, latency p50 4.0 s. The earlier extract-v1 file is kept as it was: a partial free-tier run of two cases.</w:t>
      </w:r>
    </w:p>
    <w:p>
      <w:pPr>
        <w:spacing w:after="120" w:line="276"/>
      </w:pPr>
      <w:r>
        <w:t xml:space="preserve">The first live run was worth doing: it found two faults the offline harness could not.</w:t>
      </w:r>
    </w:p>
    <w:p>
      <w:pPr>
        <w:spacing w:after="120" w:line="276"/>
      </w:pPr>
      <w:r>
        <w:t xml:space="preserve">Gemini could not accept the schema at all. Constrained decoding rejected it with “the specified schema produces a constraint that has too many states for serving” — the length limits, numeric ranges and array bounds on the Pydantic contract. The model is now sent a simplified schema carrying the shape, enums and required fields, while Pydantic still enforces every bound on the response. Nothing is lost: the model guides generation, the validator decides what is acceptable.</w:t>
      </w:r>
    </w:p>
    <w:p>
      <w:pPr>
        <w:spacing w:after="120" w:line="276"/>
      </w:pPr>
      <w:r>
        <w:t xml:space="preserve">My own metric was wrong twice. A 429 counted against schema_valid_rate, which charged a quota failure to model accuracy — provider errors are now reported separately. And findings were compared by exact text, so a paraphrase (“Temperature 38.1 C” for “Temperature 38.1 °C”) scored as a miss. Findings now match on token overlap, with the exact-text figure still reported as a strict lower bound. On the completed cases that is the difference between F1 0.32 and 0.62 — the same extraction, measured honestly.</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wuy1ncahlefwj_wvwp9tl">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x30v17jrkbrbq1g350vt" Type="http://schemas.openxmlformats.org/officeDocument/2006/relationships/hyperlink" Target="https://github.com/Sskutushev/eximion-clinical-case-platform" TargetMode="External"/><Relationship Id="rIdwuy1ncahlefwj_wvwp9tl"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2026-10-06T15:14:52.157Z</dcterms:created>
  <dcterms:modified xsi:type="dcterms:W3CDTF">2026-10-06T15:14:52.158Z</dcterms:modified>
</cp:coreProperties>
</file>

<file path=docProps/custom.xml><?xml version="1.0" encoding="utf-8"?>
<Properties xmlns="http://schemas.openxmlformats.org/officeDocument/2006/custom-properties" xmlns:vt="http://schemas.openxmlformats.org/officeDocument/2006/docPropsVTypes"/>
</file>