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mtyxx-cirmj-jit0ptw5u">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"extract-v1",</w:t>
      </w:r>
    </w:p>
    <w:p>
      <w:pPr>
        <w:shd w:fill="F4F6F8" w:val="clear"/>
        <w:spacing w:after="0" w:line="240"/>
        <w:ind w:left="180"/>
      </w:pPr>
      <w:r>
        <w:rPr>
          <w:rFonts w:ascii="Consolas" w:cs="Consolas" w:eastAsia="Consolas" w:hAnsi="Consolas"/>
          <w:sz w:val="19"/>
          <w:szCs w:val="19"/>
        </w:rPr>
        <w:t xml:space="preserve">  "total": 10, "schema_valid_rate": 0.9, "age_accuracy": 0.8889,</w:t>
      </w:r>
    </w:p>
    <w:p>
      <w:pPr>
        <w:shd w:fill="F4F6F8" w:val="clear"/>
        <w:spacing w:after="0" w:line="240"/>
        <w:ind w:left="180"/>
      </w:pPr>
      <w:r>
        <w:rPr>
          <w:rFonts w:ascii="Consolas" w:cs="Consolas" w:eastAsia="Consolas" w:hAnsi="Consolas"/>
          <w:sz w:val="19"/>
          <w:szCs w:val="19"/>
        </w:rPr>
        <w:t xml:space="preserve">  "sex_accuracy": 1.0, "answer_key_accuracy": 0.8889, "findings_f1": 0.9899,</w:t>
      </w:r>
    </w:p>
    <w:p>
      <w:pPr>
        <w:shd w:fill="F4F6F8" w:val="clear"/>
        <w:spacing w:after="0" w:line="240"/>
        <w:ind w:left="180"/>
      </w:pPr>
      <w:r>
        <w:rPr>
          <w:rFonts w:ascii="Consolas" w:cs="Consolas" w:eastAsia="Consolas" w:hAnsi="Consolas"/>
          <w:sz w:val="19"/>
          <w:szCs w:val="19"/>
        </w:rPr>
        <w:t xml:space="preserve">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Both images are multi-stage and run as a non-root user: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three least-privilege service accounts → migrations as a Cloud Run Job → backend and frontend services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internal ingress and --no-allow-unauthenticated, and only the frontend's service account holds roles/run.invoker on it.</w:t>
      </w:r>
    </w:p>
    <w:p>
      <w:pPr>
        <w:pStyle w:val="Heading2"/>
        <w:spacing w:after="120" w:before="240"/>
      </w:pPr>
      <w:r>
        <w:t xml:space="preserve">Three things the first runbook got wrong</w:t>
      </w:r>
    </w:p>
    <w:p>
      <w:pPr>
        <w:spacing w:after="120" w:line="276"/>
      </w:pPr>
      <w:r>
        <w:t xml:space="preserve">roles/run.invoker permits a call; it does not authenticate one. A private Cloud Run service still requires a Google-signed ID token whose audience is the target service URL. The frontend now fetches one from the instance metadata server and attaches it to every backend request; outside Cloud Run it adds nothing, so local development is unchanged. Without this the deployment would have failed on its first request.</w:t>
      </w:r>
    </w:p>
    <w:p>
      <w:pPr>
        <w:spacing w:after="120" w:line="276"/>
      </w:pPr>
      <w:r>
        <w:t xml:space="preserve">Cloud Run does not expand variable references inside environment values: a DATABASE_URL containing ${DB_PASSWORD} arrives with that literal text as the password. The service now receives the parts separately and assembles the URL at runtime, which also escapes a generated password containing / @ or : correctly. A test covers both.</w:t>
      </w:r>
    </w:p>
    <w:p>
      <w:pPr>
        <w:spacing w:after="120" w:line="276"/>
      </w:pPr>
      <w:r>
        <w:t xml:space="preserve">A private-IP Cloud SQL instance needs more than --no-assign-ip. It needs Private Services Access for Google to peer the instance into, and a path out of Cloud Run into that VPC — Direct VPC egress, the current recommended option over a Serverless VPC Access connector.</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53 passed, coverage 98.31%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48 passed, coverage 93.92%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34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Dependency audits</w:t>
            </w:r>
          </w:p>
        </w:tc>
        <w:tc>
          <w:tcPr>
            <w:tcW w:type="dxa" w:w="3300"/>
            <w:tcMar>
              <w:top w:type="dxa" w:w="80"/>
              <w:left w:type="dxa" w:w="120"/>
              <w:bottom w:type="dxa" w:w="80"/>
              <w:right w:type="dxa" w:w="120"/>
            </w:tcMar>
          </w:tcPr>
          <w:p>
            <w:pPr>
              <w:spacing w:after="0" w:line="240"/>
            </w:pPr>
            <w:r>
              <w:rPr>
                <w:b w:val="false"/>
                <w:bCs w:val="false"/>
                <w:sz w:val="20"/>
                <w:szCs w:val="20"/>
              </w:rPr>
              <w:t xml:space="preserve">pip-audit --strict, npm audit</w:t>
            </w:r>
          </w:p>
        </w:tc>
        <w:tc>
          <w:tcPr>
            <w:tcW w:type="dxa" w:w="3360"/>
            <w:tcMar>
              <w:top w:type="dxa" w:w="80"/>
              <w:left w:type="dxa" w:w="120"/>
              <w:bottom w:type="dxa" w:w="80"/>
              <w:right w:type="dxa" w:w="120"/>
            </w:tcMar>
          </w:tcPr>
          <w:p>
            <w:pPr>
              <w:spacing w:after="0" w:line="240"/>
            </w:pPr>
            <w:r>
              <w:rPr>
                <w:b w:val="false"/>
                <w:bCs w:val="false"/>
                <w:sz w:val="20"/>
                <w:szCs w:val="20"/>
              </w:rPr>
              <w:t xml:space="preserve">no known vulnerabilities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Secret scan</w:t>
            </w:r>
          </w:p>
        </w:tc>
        <w:tc>
          <w:tcPr>
            <w:tcW w:type="dxa" w:w="3300"/>
            <w:tcMar>
              <w:top w:type="dxa" w:w="80"/>
              <w:left w:type="dxa" w:w="120"/>
              <w:bottom w:type="dxa" w:w="80"/>
              <w:right w:type="dxa" w:w="120"/>
            </w:tcMar>
          </w:tcPr>
          <w:p>
            <w:pPr>
              <w:spacing w:after="0" w:line="240"/>
            </w:pPr>
            <w:r>
              <w:rPr>
                <w:b w:val="false"/>
                <w:bCs w:val="false"/>
                <w:sz w:val="20"/>
                <w:szCs w:val="20"/>
              </w:rPr>
              <w:t xml:space="preserve">gitleaks, full history</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A real Gemini eval run. </w:t>
      </w:r>
      <w:r>
        <w:t xml:space="preserve">--provider gemini needs those same credentials. evals/results/ therefore contains only the offline run. No numbers are fabricated: the Gemini path is covered by tests against a stubbed SDK client (structured-output configuration, error classification by HTTP status, empty-response handling), but it has not been run against the live API.</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ivqppctm7f0sqhasoy4ca">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tyxx-cirmj-jit0ptw5u" Type="http://schemas.openxmlformats.org/officeDocument/2006/relationships/hyperlink" Target="https://github.com/Sskutushev/eximion-clinical-case-platform" TargetMode="External"/><Relationship Id="rIdivqppctm7f0sqhasoy4ca"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2026-10-01T18:52:25.693Z</dcterms:created>
  <dcterms:modified xsi:type="dcterms:W3CDTF">2026-10-01T18:52:25.694Z</dcterms:modified>
</cp:coreProperties>
</file>

<file path=docProps/custom.xml><?xml version="1.0" encoding="utf-8"?>
<Properties xmlns="http://schemas.openxmlformats.org/officeDocument/2006/custom-properties" xmlns:vt="http://schemas.openxmlformats.org/officeDocument/2006/docPropsVTypes"/>
</file>