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mmo3ft5luis4s0davgxod">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The model does not score either. </w:t>
      </w:r>
      <w:r>
        <w:t xml:space="preserve">The first prompt asked it to weight a differential “by clinical proximity” — a number the source text does not contain, invented by the model, in a pipeline whose first rule is to invent nothing. Extraction (extract-v2) now records only which diagnosis the source establishes; score weights are assigned afterwards by an explicit deterministic policy, so the number is a product decision an editor can change rather than a model guess.</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types, never clinical text.</w:t>
      </w:r>
    </w:p>
    <w:p>
      <w:pPr>
        <w:spacing w:after="120" w:line="276"/>
      </w:pPr>
      <w:r>
        <w:t xml:space="preserve">One finding worth calling out, because it came from reviewing my own code rather than from a test: a validation failure was originally logged with logger.exception, which is the idiomatic choice and what the linter pushes you toward. But Pydantic embeds the offending input values in its error message — here, the clinical narrative — so the traceback would have written patient text into the logs, defeating the logging policy stated above. Validation failures now log field paths and error types with no exc_info, and a regression test asserts the clinical marker never reaches the log.</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"extract-v2",</w:t>
      </w:r>
    </w:p>
    <w:p>
      <w:pPr>
        <w:shd w:fill="F4F6F8" w:val="clear"/>
        <w:spacing w:after="0" w:line="240"/>
        <w:ind w:left="180"/>
      </w:pPr>
      <w:r>
        <w:rPr>
          <w:rFonts w:ascii="Consolas" w:cs="Consolas" w:eastAsia="Consolas" w:hAnsi="Consolas"/>
          <w:sz w:val="19"/>
          <w:szCs w:val="19"/>
        </w:rPr>
        <w:t xml:space="preserve">  "total": 10, "scored": 9, "provider_errors": 0, "model_blocked": 0,</w:t>
      </w:r>
    </w:p>
    <w:p>
      <w:pPr>
        <w:shd w:fill="F4F6F8" w:val="clear"/>
        <w:spacing w:after="0" w:line="240"/>
        <w:ind w:left="180"/>
      </w:pPr>
      <w:r>
        <w:rPr>
          <w:rFonts w:ascii="Consolas" w:cs="Consolas" w:eastAsia="Consolas" w:hAnsi="Consolas"/>
          <w:sz w:val="19"/>
          <w:szCs w:val="19"/>
        </w:rPr>
        <w:t xml:space="preserve">  "schema_valid_rate": 0.9, "age_accuracy": 0.8889, "sex_accuracy": 1.0,</w:t>
      </w:r>
    </w:p>
    <w:p>
      <w:pPr>
        <w:shd w:fill="F4F6F8" w:val="clear"/>
        <w:spacing w:after="0" w:line="240"/>
        <w:ind w:left="180"/>
      </w:pPr>
      <w:r>
        <w:rPr>
          <w:rFonts w:ascii="Consolas" w:cs="Consolas" w:eastAsia="Consolas" w:hAnsi="Consolas"/>
          <w:sz w:val="19"/>
          <w:szCs w:val="19"/>
        </w:rPr>
        <w:t xml:space="preserve">  "answer_key_accuracy": 0.8889, "findings_f1": 0.9899,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Three images, all multi-stage and running as a non-root user. backend and frontend are services; llm_pipeline is a batch container whose entry point is the extraction CLI, deployed as a Cloud Run Job rather than a service: extraction is authoring work, not request-path work, so it should neither idle nor be able to take traffic.</w:t>
      </w:r>
    </w:p>
    <w:p>
      <w:pPr>
        <w:spacing w:after="120" w:line="276"/>
      </w:pPr>
      <w:r>
        <w:t xml:space="preserve">For the two services: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four least-privilege service accounts → migrations as a Cloud Run Job → backend and frontend services → the extraction Job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--no-allow-unauthenticated, and only the frontend's service account holds roles/run.invoker on it. Ingress is all, deliberately: IAM closes the service on any network, whereas internal ingress is a network control that would require the frontend to egress through a VPC — without that it does not harden the service, it breaks it. One lock that works rather than two where one is wrong.</w:t>
      </w:r>
    </w:p>
    <w:p>
      <w:pPr>
        <w:pStyle w:val="Heading2"/>
        <w:spacing w:after="120" w:before="240"/>
      </w:pPr>
      <w:r>
        <w:t xml:space="preserve">Three things the first runbook got wrong</w:t>
      </w:r>
    </w:p>
    <w:p>
      <w:pPr>
        <w:spacing w:after="120" w:line="276"/>
      </w:pPr>
      <w:r>
        <w:t xml:space="preserve">roles/run.invoker permits a call; it does not authenticate one. A private Cloud Run service still requires a Google-signed ID token whose audience is the target service URL. The frontend now fetches one from the instance metadata server and attaches it to every backend request; outside Cloud Run it adds nothing, so local development is unchanged. Without this the deployment would have failed on its first request.</w:t>
      </w:r>
    </w:p>
    <w:p>
      <w:pPr>
        <w:spacing w:after="120" w:line="276"/>
      </w:pPr>
      <w:r>
        <w:t xml:space="preserve">Cloud Run does not expand variable references inside environment values: a DATABASE_URL containing ${DB_PASSWORD} arrives with that literal text as the password. The service now receives the parts separately and assembles the URL at runtime, which also escapes a generated password containing / @ or : correctly. A test covers both.</w:t>
      </w:r>
    </w:p>
    <w:p>
      <w:pPr>
        <w:spacing w:after="120" w:line="276"/>
      </w:pPr>
      <w:r>
        <w:t xml:space="preserve">A private-IP Cloud SQL instance needs more than --no-assign-ip. It needs Private Services Access for Google to peer the instance into, and a path out of Cloud Run into that VPC — Direct VPC egress, the current recommended option over a Serverless VPC Access connector. And the application then has to use that path: it connects to the instance's private address on 5432 as an ordinary PostgreSQL client, with TLS required on the instance. The managed /cloudsql Unix socket is the Auth Proxy's public-IP path, and a runbook that pairs it with a private-only instance has two half-paths and no connection. The runbook now has one.</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53 passed, coverage 98.31%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48 passed, coverage 93.92%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34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Extraction container</w:t>
            </w:r>
          </w:p>
        </w:tc>
        <w:tc>
          <w:tcPr>
            <w:tcW w:type="dxa" w:w="3300"/>
            <w:tcMar>
              <w:top w:type="dxa" w:w="80"/>
              <w:left w:type="dxa" w:w="120"/>
              <w:bottom w:type="dxa" w:w="80"/>
              <w:right w:type="dxa" w:w="120"/>
            </w:tcMar>
          </w:tcPr>
          <w:p>
            <w:pPr>
              <w:spacing w:after="0" w:line="240"/>
            </w:pPr>
            <w:r>
              <w:rPr>
                <w:b w:val="false"/>
                <w:bCs w:val="false"/>
                <w:sz w:val="20"/>
                <w:szCs w:val="20"/>
              </w:rPr>
              <w:t xml:space="preserve">docker run eximion-llm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uid 1001, eval passes in-container</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A complete Gemini eval run of the current prompt. </w:t>
      </w:r>
      <w:r>
        <w:t xml:space="preserve">The pipeline was run against the live Gemini API, and the result is committed as produced in evals/results/gemini-2.5-flash-extract-v1.json. Two caveats, both in the file name. It is partial: the run used a free tier whose quota is exhausted partway through ten cases, so two cases were scored and eight are recorded as provider errors. And it measures extract-v1: the prompt has since moved to extract-v2, which removed score_weight from the model's output, and that version has not been run live for the same quota reason. The v2 change narrows what the model produces rather than adding to it, and it is covered by the offline eval and the stubbed-SDK tests, but I am not presenting the v1 numbers as a measurement of the current prompt. A full measurement needs a paid tier or a Vertex project.</w:t>
      </w:r>
    </w:p>
    <w:p>
      <w:pPr>
        <w:spacing w:after="120" w:line="276"/>
      </w:pPr>
      <w:r>
        <w:t xml:space="preserve">The live run was worth doing: it found two faults the offline harness could not.</w:t>
      </w:r>
    </w:p>
    <w:p>
      <w:pPr>
        <w:spacing w:after="120" w:line="276"/>
      </w:pPr>
      <w:r>
        <w:t xml:space="preserve">Gemini could not accept the schema at all. Constrained decoding rejected it with “the specified schema produces a constraint that has too many states for serving” — the length limits, numeric ranges and array bounds on the Pydantic contract. The model is now sent a simplified schema carrying the shape, enums and required fields, while Pydantic still enforces every bound on the response. Nothing is lost: the model guides generation, the validator decides what is acceptable.</w:t>
      </w:r>
    </w:p>
    <w:p>
      <w:pPr>
        <w:spacing w:after="120" w:line="276"/>
      </w:pPr>
      <w:r>
        <w:t xml:space="preserve">My own metric was wrong twice. A 429 counted against schema_valid_rate, which charged a quota failure to model accuracy — provider errors are now reported separately. And findings were compared by exact text, so a paraphrase (“Temperature 38.1 C” for “Temperature 38.1 °C”) scored as a miss. Findings now match on token overlap, with the exact-text figure still reported as a strict lower bound. On the completed cases that is the difference between F1 0.32 and 0.62 — the same extraction, measured honestly.</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jdp07wiemdu836cudb-ka">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mo3ft5luis4s0davgxod" Type="http://schemas.openxmlformats.org/officeDocument/2006/relationships/hyperlink" Target="https://github.com/Sskutushev/eximion-clinical-case-platform" TargetMode="External"/><Relationship Id="rIdjdp07wiemdu836cudb-ka"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2026-10-02T07:05:07.664Z</dcterms:created>
  <dcterms:modified xsi:type="dcterms:W3CDTF">2026-10-02T07:05:07.665Z</dcterms:modified>
</cp:coreProperties>
</file>

<file path=docProps/custom.xml><?xml version="1.0" encoding="utf-8"?>
<Properties xmlns="http://schemas.openxmlformats.org/officeDocument/2006/custom-properties" xmlns:vt="http://schemas.openxmlformats.org/officeDocument/2006/docPropsVTypes"/>
</file>