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sz w:val="44"/>
          <w:szCs w:val="44"/>
        </w:rPr>
        <w:t xml:space="preserve">Eximion — Test Assignment</w:t>
      </w:r>
    </w:p>
    <w:p>
      <w:pPr>
        <w:spacing w:after="40"/>
      </w:pPr>
      <w:r>
        <w:rPr>
          <w:color w:val="5B6573"/>
          <w:sz w:val="24"/>
          <w:szCs w:val="24"/>
        </w:rPr>
        <w:t xml:space="preserve">Clinical Case Platform: FastAPI + PostgreSQL · Next.js · LLM extraction on GCP</w:t>
      </w:r>
    </w:p>
    <w:p>
      <w:pPr>
        <w:pBdr>
          <w:bottom w:val="single" w:color="0B5CAD" w:sz="12" w:space="8"/>
        </w:pBdr>
        <w:spacing w:after="240"/>
      </w:pPr>
    </w:p>
    <w:p>
      <w:pPr>
        <w:spacing w:after="240" w:line="276"/>
      </w:pPr>
      <w:r>
        <w:rPr>
          <w:b/>
          <w:bCs/>
        </w:rPr>
        <w:t xml:space="preserve">Sergei Kutushev</w:t>
      </w:r>
      <w:r>
        <w:rPr>
          <w:color w:val="5B6573"/>
        </w:rPr>
        <w:t xml:space="preserve">  ·  October 2026  ·  Repository: </w:t>
      </w:r>
      <w:hyperlink w:history="1" r:id="rIdiir-3oht-0vmvsxmrbbl1">
        <w:r>
          <w:rPr>
            <w:color w:val="0B5CAD"/>
          </w:rPr>
          <w:t xml:space="preserve">github.com/Sskutushev/eximion-clinical-case-platform</w:t>
        </w:r>
      </w:hyperlink>
    </w:p>
    <w:p>
      <w:pPr>
        <w:pStyle w:val="Heading1"/>
        <w:spacing w:after="160" w:before="320"/>
      </w:pPr>
      <w:r>
        <w:t xml:space="preserve">1. Objective and approach</w:t>
      </w:r>
    </w:p>
    <w:p>
      <w:pPr>
        <w:spacing w:after="120" w:line="276"/>
      </w:pPr>
      <w:r>
        <w:t xml:space="preserve">The assignment lists three tasks: a FastAPI + PostgreSQL service, a Next.js + TypeScript page, and an LLM extraction pipeline packaged for Cloud Run. I built them as one repository, because they are not three independent exercises — they are one system joined by one domain contract:</w:t>
      </w:r>
    </w:p>
    <w:p>
      <w:pPr>
        <w:shd w:fill="F4F6F8" w:val="clear"/>
        <w:spacing w:after="0" w:line="240"/>
        <w:ind w:left="180"/>
      </w:pPr>
      <w:r>
        <w:rPr>
          <w:rFonts w:ascii="Consolas" w:cs="Consolas" w:eastAsia="Consolas" w:hAnsi="Consolas"/>
          <w:sz w:val="19"/>
          <w:szCs w:val="19"/>
        </w:rPr>
        <w:t xml:space="preserve">raw clinical text → Gemini structured extraction → ClinicalCase → FastAPI → PostgreSQL</w:t>
      </w:r>
    </w:p>
    <w:p>
      <w:pPr>
        <w:shd w:fill="F4F6F8" w:val="clear"/>
        <w:spacing w:after="0" w:line="240"/>
        <w:ind w:left="180"/>
      </w:pPr>
      <w:r>
        <w:rPr>
          <w:rFonts w:ascii="Consolas" w:cs="Consolas" w:eastAsia="Consolas" w:hAnsi="Consolas"/>
          <w:sz w:val="19"/>
          <w:szCs w:val="19"/>
        </w:rPr>
        <w:t xml:space="preserve">                                                        ↓</w:t>
      </w:r>
    </w:p>
    <w:p>
      <w:pPr>
        <w:shd w:fill="F4F6F8" w:val="clear"/>
        <w:spacing w:after="160" w:line="240"/>
        <w:ind w:left="180"/>
      </w:pPr>
      <w:r>
        <w:rPr>
          <w:rFonts w:ascii="Consolas" w:cs="Consolas" w:eastAsia="Consolas" w:hAnsi="Consolas"/>
          <w:sz w:val="19"/>
          <w:szCs w:val="19"/>
        </w:rPr>
        <w:t xml:space="preserve">                  Next.js (Server Component) → diagnosis → deterministic scoring</w:t>
      </w:r>
    </w:p>
    <w:p>
      <w:pPr>
        <w:spacing w:after="120" w:line="276"/>
      </w:pPr>
      <w:r>
        <w:t xml:space="preserve">Treating it as one slice made the assignment's “shared types between API and frontend” requirement a real mechanism rather than a convention: FastAPI publishes OpenAPI, the frontend generates its types from it, and the extraction pipeline validates its output against the same document. CI fails if any of the three drift apart.</w:t>
      </w:r>
    </w:p>
    <w:p>
      <w:pPr>
        <w:pStyle w:val="Heading2"/>
        <w:spacing w:after="120" w:before="240"/>
      </w:pPr>
      <w:r>
        <w:t xml:space="preserve">Assumptions</w:t>
      </w:r>
    </w:p>
    <w:p>
      <w:pPr>
        <w:spacing w:after="120" w:line="276"/>
      </w:pPr>
      <w:r>
        <w:t xml:space="preserve">The assignment supplies no JSON schema, so I fixed one and stated it in the README instead of asking:</w:t>
      </w:r>
    </w:p>
    <w:p>
      <w:pPr>
        <w:pStyle w:val="ListParagraph"/>
        <w:numPr>
          <w:ilvl w:val="0"/>
          <w:numId w:val="2"/>
        </w:numPr>
        <w:spacing w:after="80" w:line="276"/>
      </w:pPr>
      <w:r>
        <w:t xml:space="preserve">title</w:t>
      </w:r>
      <w:r>
        <w:t xml:space="preserve">, optional </w:t>
      </w:r>
      <w:r>
        <w:t xml:space="preserve">patient_age</w:t>
      </w:r>
      <w:r>
        <w:t xml:space="preserve"> (0–130) and </w:t>
      </w:r>
      <w:r>
        <w:t xml:space="preserve">patient_sex</w:t>
      </w:r>
      <w:r>
        <w:t xml:space="preserve">, </w:t>
      </w:r>
      <w:r>
        <w:t xml:space="preserve">presentation</w:t>
      </w:r>
    </w:p>
    <w:p>
      <w:pPr>
        <w:pStyle w:val="ListParagraph"/>
        <w:numPr>
          <w:ilvl w:val="0"/>
          <w:numId w:val="2"/>
        </w:numPr>
        <w:spacing w:after="80" w:line="276"/>
      </w:pPr>
      <w:r>
        <w:t xml:space="preserve">findings[]</w:t>
      </w:r>
      <w:r>
        <w:t xml:space="preserve"> — at least one, each with a category from a closed 7-value enum</w:t>
      </w:r>
    </w:p>
    <w:p>
      <w:pPr>
        <w:pStyle w:val="ListParagraph"/>
        <w:numPr>
          <w:ilvl w:val="0"/>
          <w:numId w:val="2"/>
        </w:numPr>
        <w:spacing w:after="80" w:line="276"/>
      </w:pPr>
      <w:r>
        <w:t xml:space="preserve">answers[]</w:t>
      </w:r>
      <w:r>
        <w:t xml:space="preserve"> — the answer key: at least one correct answer with </w:t>
      </w:r>
      <w:r>
        <w:t xml:space="preserve">score_weight &gt; 0</w:t>
      </w:r>
      <w:r>
        <w:t xml:space="preserve">; multiple correct synonyms allowed; differentials may carry partial credit but may not outweigh the correct answer</w:t>
      </w:r>
    </w:p>
    <w:p>
      <w:pPr>
        <w:pStyle w:val="ListParagraph"/>
        <w:numPr>
          <w:ilvl w:val="0"/>
          <w:numId w:val="2"/>
        </w:numPr>
        <w:spacing w:after="80" w:line="276"/>
      </w:pPr>
      <w:r>
        <w:t xml:space="preserve">optional </w:t>
      </w:r>
      <w:r>
        <w:t xml:space="preserve">provenance</w:t>
      </w:r>
      <w:r>
        <w:t xml:space="preserve"> (manual, or llm_extraction with model and prompt version)</w:t>
      </w:r>
    </w:p>
    <w:p>
      <w:pPr>
        <w:spacing w:after="120" w:line="276"/>
      </w:pPr>
      <w:r>
        <w:t xml:space="preserve">All clinical content in the repository is synthetic. No real patient data anywhere.</w:t>
      </w:r>
    </w:p>
    <w:p>
      <w:pPr>
        <w:pStyle w:val="Heading1"/>
        <w:spacing w:after="160" w:before="320"/>
      </w:pPr>
      <w:r>
        <w:t xml:space="preserve">2. Architecture</w:t>
      </w:r>
    </w:p>
    <w:tbl>
      <w:tblPr>
        <w:tblW w:type="dxa" w:w="9360"/>
        <w:tblBorders>
          <w:top w:val="single" w:color="C9D2DC" w:sz="6"/>
          <w:left w:val="single" w:color="C9D2DC" w:sz="6"/>
          <w:bottom w:val="single" w:color="C9D2DC" w:sz="6"/>
          <w:right w:val="single" w:color="C9D2DC" w:sz="6"/>
          <w:insideH w:val="single" w:color="DDE3EA" w:sz="4"/>
          <w:insideV w:val="single" w:color="DDE3EA" w:sz="4"/>
        </w:tblBorders>
      </w:tblPr>
      <w:tblGrid>
        <w:gridCol w:w="1500"/>
        <w:gridCol w:w="2700"/>
        <w:gridCol w:w="5160"/>
      </w:tblGrid>
      <w:tr>
        <w:trPr>
          <w:tblHeader/>
        </w:trPr>
        <w:tc>
          <w:tcPr>
            <w:tcW w:type="dxa" w:w="1500"/>
            <w:shd w:fill="EEF3F9" w:val="clear"/>
            <w:tcMar>
              <w:top w:type="dxa" w:w="80"/>
              <w:left w:type="dxa" w:w="120"/>
              <w:bottom w:type="dxa" w:w="80"/>
              <w:right w:type="dxa" w:w="120"/>
            </w:tcMar>
          </w:tcPr>
          <w:p>
            <w:pPr>
              <w:spacing w:after="0" w:line="240"/>
            </w:pPr>
            <w:r>
              <w:rPr>
                <w:b/>
                <w:bCs/>
                <w:sz w:val="20"/>
                <w:szCs w:val="20"/>
              </w:rPr>
              <w:t xml:space="preserve">Layer</w:t>
            </w:r>
          </w:p>
        </w:tc>
        <w:tc>
          <w:tcPr>
            <w:tcW w:type="dxa" w:w="2700"/>
            <w:shd w:fill="EEF3F9" w:val="clear"/>
            <w:tcMar>
              <w:top w:type="dxa" w:w="80"/>
              <w:left w:type="dxa" w:w="120"/>
              <w:bottom w:type="dxa" w:w="80"/>
              <w:right w:type="dxa" w:w="120"/>
            </w:tcMar>
          </w:tcPr>
          <w:p>
            <w:pPr>
              <w:spacing w:after="0" w:line="240"/>
            </w:pPr>
            <w:r>
              <w:rPr>
                <w:b/>
                <w:bCs/>
                <w:sz w:val="20"/>
                <w:szCs w:val="20"/>
              </w:rPr>
              <w:t xml:space="preserve">Choice</w:t>
            </w:r>
          </w:p>
        </w:tc>
        <w:tc>
          <w:tcPr>
            <w:tcW w:type="dxa" w:w="5160"/>
            <w:shd w:fill="EEF3F9" w:val="clear"/>
            <w:tcMar>
              <w:top w:type="dxa" w:w="80"/>
              <w:left w:type="dxa" w:w="120"/>
              <w:bottom w:type="dxa" w:w="80"/>
              <w:right w:type="dxa" w:w="120"/>
            </w:tcMar>
          </w:tcPr>
          <w:p>
            <w:pPr>
              <w:spacing w:after="0" w:line="240"/>
            </w:pPr>
            <w:r>
              <w:rPr>
                <w:b/>
                <w:bCs/>
                <w:sz w:val="20"/>
                <w:szCs w:val="20"/>
              </w:rPr>
              <w:t xml:space="preserve">Reasoning</w:t>
            </w:r>
          </w:p>
        </w:tc>
      </w:tr>
      <w:tr>
        <w:tc>
          <w:tcPr>
            <w:tcW w:type="dxa" w:w="1500"/>
            <w:tcMar>
              <w:top w:type="dxa" w:w="80"/>
              <w:left w:type="dxa" w:w="120"/>
              <w:bottom w:type="dxa" w:w="80"/>
              <w:right w:type="dxa" w:w="120"/>
            </w:tcMar>
          </w:tcPr>
          <w:p>
            <w:pPr>
              <w:spacing w:after="0" w:line="240"/>
            </w:pPr>
            <w:r>
              <w:rPr>
                <w:b w:val="false"/>
                <w:bCs w:val="false"/>
                <w:sz w:val="20"/>
                <w:szCs w:val="20"/>
              </w:rPr>
              <w:t xml:space="preserve">API</w:t>
            </w:r>
          </w:p>
        </w:tc>
        <w:tc>
          <w:tcPr>
            <w:tcW w:type="dxa" w:w="2700"/>
            <w:tcMar>
              <w:top w:type="dxa" w:w="80"/>
              <w:left w:type="dxa" w:w="120"/>
              <w:bottom w:type="dxa" w:w="80"/>
              <w:right w:type="dxa" w:w="120"/>
            </w:tcMar>
          </w:tcPr>
          <w:p>
            <w:pPr>
              <w:spacing w:after="0" w:line="240"/>
            </w:pPr>
            <w:r>
              <w:rPr>
                <w:b w:val="false"/>
                <w:bCs w:val="false"/>
                <w:sz w:val="20"/>
                <w:szCs w:val="20"/>
              </w:rPr>
              <w:t xml:space="preserve">FastAPI, Pydantic v2</w:t>
            </w:r>
          </w:p>
        </w:tc>
        <w:tc>
          <w:tcPr>
            <w:tcW w:type="dxa" w:w="5160"/>
            <w:tcMar>
              <w:top w:type="dxa" w:w="80"/>
              <w:left w:type="dxa" w:w="120"/>
              <w:bottom w:type="dxa" w:w="80"/>
              <w:right w:type="dxa" w:w="120"/>
            </w:tcMar>
          </w:tcPr>
          <w:p>
            <w:pPr>
              <w:spacing w:after="0" w:line="240"/>
            </w:pPr>
            <w:r>
              <w:rPr>
                <w:b w:val="false"/>
                <w:bCs w:val="false"/>
                <w:sz w:val="20"/>
                <w:szCs w:val="20"/>
              </w:rPr>
              <w:t xml:space="preserve">request validation and the OpenAPI contract come from the same models</w:t>
            </w:r>
          </w:p>
        </w:tc>
      </w:tr>
      <w:tr>
        <w:tc>
          <w:tcPr>
            <w:tcW w:type="dxa" w:w="1500"/>
            <w:tcMar>
              <w:top w:type="dxa" w:w="80"/>
              <w:left w:type="dxa" w:w="120"/>
              <w:bottom w:type="dxa" w:w="80"/>
              <w:right w:type="dxa" w:w="120"/>
            </w:tcMar>
          </w:tcPr>
          <w:p>
            <w:pPr>
              <w:spacing w:after="0" w:line="240"/>
            </w:pPr>
            <w:r>
              <w:rPr>
                <w:b w:val="false"/>
                <w:bCs w:val="false"/>
                <w:sz w:val="20"/>
                <w:szCs w:val="20"/>
              </w:rPr>
              <w:t xml:space="preserve">Persistence</w:t>
            </w:r>
          </w:p>
        </w:tc>
        <w:tc>
          <w:tcPr>
            <w:tcW w:type="dxa" w:w="2700"/>
            <w:tcMar>
              <w:top w:type="dxa" w:w="80"/>
              <w:left w:type="dxa" w:w="120"/>
              <w:bottom w:type="dxa" w:w="80"/>
              <w:right w:type="dxa" w:w="120"/>
            </w:tcMar>
          </w:tcPr>
          <w:p>
            <w:pPr>
              <w:spacing w:after="0" w:line="240"/>
            </w:pPr>
            <w:r>
              <w:rPr>
                <w:b w:val="false"/>
                <w:bCs w:val="false"/>
                <w:sz w:val="20"/>
                <w:szCs w:val="20"/>
              </w:rPr>
              <w:t xml:space="preserve">SQLAlchemy 2 (sync), PostgreSQL 17, Alembic</w:t>
            </w:r>
          </w:p>
        </w:tc>
        <w:tc>
          <w:tcPr>
            <w:tcW w:type="dxa" w:w="5160"/>
            <w:tcMar>
              <w:top w:type="dxa" w:w="80"/>
              <w:left w:type="dxa" w:w="120"/>
              <w:bottom w:type="dxa" w:w="80"/>
              <w:right w:type="dxa" w:w="120"/>
            </w:tcMar>
          </w:tcPr>
          <w:p>
            <w:pPr>
              <w:spacing w:after="0" w:line="240"/>
            </w:pPr>
            <w:r>
              <w:rPr>
                <w:b w:val="false"/>
                <w:bCs w:val="false"/>
                <w:sz w:val="20"/>
                <w:szCs w:val="20"/>
              </w:rPr>
              <w:t xml:space="preserve">a few short queries per request; async would add a second driver and contagion without changing throughput at this scale</w:t>
            </w:r>
          </w:p>
        </w:tc>
      </w:tr>
      <w:tr>
        <w:tc>
          <w:tcPr>
            <w:tcW w:type="dxa" w:w="1500"/>
            <w:tcMar>
              <w:top w:type="dxa" w:w="80"/>
              <w:left w:type="dxa" w:w="120"/>
              <w:bottom w:type="dxa" w:w="80"/>
              <w:right w:type="dxa" w:w="120"/>
            </w:tcMar>
          </w:tcPr>
          <w:p>
            <w:pPr>
              <w:spacing w:after="0" w:line="240"/>
            </w:pPr>
            <w:r>
              <w:rPr>
                <w:b w:val="false"/>
                <w:bCs w:val="false"/>
                <w:sz w:val="20"/>
                <w:szCs w:val="20"/>
              </w:rPr>
              <w:t xml:space="preserve">Frontend</w:t>
            </w:r>
          </w:p>
        </w:tc>
        <w:tc>
          <w:tcPr>
            <w:tcW w:type="dxa" w:w="2700"/>
            <w:tcMar>
              <w:top w:type="dxa" w:w="80"/>
              <w:left w:type="dxa" w:w="120"/>
              <w:bottom w:type="dxa" w:w="80"/>
              <w:right w:type="dxa" w:w="120"/>
            </w:tcMar>
          </w:tcPr>
          <w:p>
            <w:pPr>
              <w:spacing w:after="0" w:line="240"/>
            </w:pPr>
            <w:r>
              <w:rPr>
                <w:b w:val="false"/>
                <w:bCs w:val="false"/>
                <w:sz w:val="20"/>
                <w:szCs w:val="20"/>
              </w:rPr>
              <w:t xml:space="preserve">Next.js App Router, TypeScript strict</w:t>
            </w:r>
          </w:p>
        </w:tc>
        <w:tc>
          <w:tcPr>
            <w:tcW w:type="dxa" w:w="5160"/>
            <w:tcMar>
              <w:top w:type="dxa" w:w="80"/>
              <w:left w:type="dxa" w:w="120"/>
              <w:bottom w:type="dxa" w:w="80"/>
              <w:right w:type="dxa" w:w="120"/>
            </w:tcMar>
          </w:tcPr>
          <w:p>
            <w:pPr>
              <w:spacing w:after="0" w:line="240"/>
            </w:pPr>
            <w:r>
              <w:rPr>
                <w:b w:val="false"/>
                <w:bCs w:val="false"/>
                <w:sz w:val="20"/>
                <w:szCs w:val="20"/>
              </w:rPr>
              <w:t xml:space="preserve">Server Component renders, Client Component only interacts</w:t>
            </w:r>
          </w:p>
        </w:tc>
      </w:tr>
      <w:tr>
        <w:tc>
          <w:tcPr>
            <w:tcW w:type="dxa" w:w="1500"/>
            <w:tcMar>
              <w:top w:type="dxa" w:w="80"/>
              <w:left w:type="dxa" w:w="120"/>
              <w:bottom w:type="dxa" w:w="80"/>
              <w:right w:type="dxa" w:w="120"/>
            </w:tcMar>
          </w:tcPr>
          <w:p>
            <w:pPr>
              <w:spacing w:after="0" w:line="240"/>
            </w:pPr>
            <w:r>
              <w:rPr>
                <w:b w:val="false"/>
                <w:bCs w:val="false"/>
                <w:sz w:val="20"/>
                <w:szCs w:val="20"/>
              </w:rPr>
              <w:t xml:space="preserve">Extraction</w:t>
            </w:r>
          </w:p>
        </w:tc>
        <w:tc>
          <w:tcPr>
            <w:tcW w:type="dxa" w:w="2700"/>
            <w:tcMar>
              <w:top w:type="dxa" w:w="80"/>
              <w:left w:type="dxa" w:w="120"/>
              <w:bottom w:type="dxa" w:w="80"/>
              <w:right w:type="dxa" w:w="120"/>
            </w:tcMar>
          </w:tcPr>
          <w:p>
            <w:pPr>
              <w:spacing w:after="0" w:line="240"/>
            </w:pPr>
            <w:r>
              <w:rPr>
                <w:b w:val="false"/>
                <w:bCs w:val="false"/>
                <w:sz w:val="20"/>
                <w:szCs w:val="20"/>
              </w:rPr>
              <w:t xml:space="preserve">google-genai, Gemini structured output</w:t>
            </w:r>
          </w:p>
        </w:tc>
        <w:tc>
          <w:tcPr>
            <w:tcW w:type="dxa" w:w="5160"/>
            <w:tcMar>
              <w:top w:type="dxa" w:w="80"/>
              <w:left w:type="dxa" w:w="120"/>
              <w:bottom w:type="dxa" w:w="80"/>
              <w:right w:type="dxa" w:w="120"/>
            </w:tcMar>
          </w:tcPr>
          <w:p>
            <w:pPr>
              <w:spacing w:after="0" w:line="240"/>
            </w:pPr>
            <w:r>
              <w:rPr>
                <w:b w:val="false"/>
                <w:bCs w:val="false"/>
                <w:sz w:val="20"/>
                <w:szCs w:val="20"/>
              </w:rPr>
              <w:t xml:space="preserve">schema-constrained generation, not parsing</w:t>
            </w:r>
          </w:p>
        </w:tc>
      </w:tr>
      <w:tr>
        <w:tc>
          <w:tcPr>
            <w:tcW w:type="dxa" w:w="1500"/>
            <w:tcMar>
              <w:top w:type="dxa" w:w="80"/>
              <w:left w:type="dxa" w:w="120"/>
              <w:bottom w:type="dxa" w:w="80"/>
              <w:right w:type="dxa" w:w="120"/>
            </w:tcMar>
          </w:tcPr>
          <w:p>
            <w:pPr>
              <w:spacing w:after="0" w:line="240"/>
            </w:pPr>
            <w:r>
              <w:rPr>
                <w:b w:val="false"/>
                <w:bCs w:val="false"/>
                <w:sz w:val="20"/>
                <w:szCs w:val="20"/>
              </w:rPr>
              <w:t xml:space="preserve">Contract</w:t>
            </w:r>
          </w:p>
        </w:tc>
        <w:tc>
          <w:tcPr>
            <w:tcW w:type="dxa" w:w="2700"/>
            <w:tcMar>
              <w:top w:type="dxa" w:w="80"/>
              <w:left w:type="dxa" w:w="120"/>
              <w:bottom w:type="dxa" w:w="80"/>
              <w:right w:type="dxa" w:w="120"/>
            </w:tcMar>
          </w:tcPr>
          <w:p>
            <w:pPr>
              <w:spacing w:after="0" w:line="240"/>
            </w:pPr>
            <w:r>
              <w:rPr>
                <w:b w:val="false"/>
                <w:bCs w:val="false"/>
                <w:sz w:val="20"/>
                <w:szCs w:val="20"/>
              </w:rPr>
              <w:t xml:space="preserve">contracts/openapi.json, committed</w:t>
            </w:r>
          </w:p>
        </w:tc>
        <w:tc>
          <w:tcPr>
            <w:tcW w:type="dxa" w:w="5160"/>
            <w:tcMar>
              <w:top w:type="dxa" w:w="80"/>
              <w:left w:type="dxa" w:w="120"/>
              <w:bottom w:type="dxa" w:w="80"/>
              <w:right w:type="dxa" w:w="120"/>
            </w:tcMar>
          </w:tcPr>
          <w:p>
            <w:pPr>
              <w:spacing w:after="0" w:line="240"/>
            </w:pPr>
            <w:r>
              <w:rPr>
                <w:b w:val="false"/>
                <w:bCs w:val="false"/>
                <w:sz w:val="20"/>
                <w:szCs w:val="20"/>
              </w:rPr>
              <w:t xml:space="preserve">generated TS types and the pipeline's alignment test both derive from it</w:t>
            </w:r>
          </w:p>
        </w:tc>
      </w:tr>
    </w:tbl>
    <w:p>
      <w:pPr>
        <w:spacing w:after="120"/>
      </w:pPr>
    </w:p>
    <w:p>
      <w:pPr>
        <w:spacing w:after="120" w:line="276"/>
      </w:pPr>
      <w:r>
        <w:t xml:space="preserve">Separation inside the backend: schemas (API contract) / services (use cases and transactions) / domain (pure scoring logic) / db (persistence). ORM entities are never serialized to a client. There is no repository layer — services use SQLAlchemy directly, because a second persistence target does not exist and the indirection would not pay for itself.</w:t>
      </w:r>
    </w:p>
    <w:p>
      <w:pPr>
        <w:pStyle w:val="Heading1"/>
        <w:spacing w:after="160" w:before="320"/>
      </w:pPr>
      <w:r>
        <w:t xml:space="preserve">3. Backend</w:t>
      </w:r>
    </w:p>
    <w:p>
      <w:pPr>
        <w:pStyle w:val="Heading2"/>
        <w:spacing w:after="120" w:before="240"/>
      </w:pPr>
      <w:r>
        <w:t xml:space="preserve">Data model</w:t>
      </w:r>
    </w:p>
    <w:p>
      <w:pPr>
        <w:spacing w:after="120" w:line="276"/>
      </w:pPr>
      <w:r>
        <w:t xml:space="preserve">Four normalized tables: clinical_cases, case_findings, case_answers, case_submissions. Findings and answers are rows, not a JSONB blob, so they are queryable and constrainable. The database enforces what the application should not be trusted to: CHECK constraints on the category and sex enums, age range, score weight range and score ≤ max_score; UNIQUE (case_id, normalized_answer) so one case cannot hold two colliding keys; ON DELETE CASCADE for findings and answers, but ON DELETE RESTRICT for submissions — a case with recorded attempts must not lose its audit trail. JSONB is used only for optional extraction provenance, which carries no schema obligations.</w:t>
      </w:r>
    </w:p>
    <w:p>
      <w:pPr>
        <w:spacing w:after="120" w:line="276"/>
      </w:pPr>
      <w:r>
        <w:t xml:space="preserve">The initial migration is hand-written, with explicit constraint names from a naming convention, and alembic check runs in CI so the models and migrations cannot drift. create_all is not used anywhere, including in tests — the test database is built by running the real migration.</w:t>
      </w:r>
    </w:p>
    <w:p>
      <w:pPr>
        <w:pStyle w:val="Heading2"/>
        <w:spacing w:after="120" w:before="240"/>
      </w:pPr>
      <w:r>
        <w:t xml:space="preserve">Scoring</w:t>
      </w:r>
    </w:p>
    <w:p>
      <w:pPr>
        <w:spacing w:after="120" w:line="276"/>
      </w:pPr>
      <w:r>
        <w:t xml:space="preserve">Pure functions, no I/O and no LLM. Normalization is NFKC → casefold → collapse whitespace → strip edge punctuation, so “  ACUTE   Appendicitis. ” and “acute appendicitis” match, Straße folds to strasse, and inner punctuation stays significant (type-2 ≠ type 2).</w:t>
      </w:r>
    </w:p>
    <w:tbl>
      <w:tblPr>
        <w:tblW w:type="dxa" w:w="9360"/>
        <w:tblBorders>
          <w:top w:val="single" w:color="C9D2DC" w:sz="6"/>
          <w:left w:val="single" w:color="C9D2DC" w:sz="6"/>
          <w:bottom w:val="single" w:color="C9D2DC" w:sz="6"/>
          <w:right w:val="single" w:color="C9D2DC" w:sz="6"/>
          <w:insideH w:val="single" w:color="DDE3EA" w:sz="4"/>
          <w:insideV w:val="single" w:color="DDE3EA" w:sz="4"/>
        </w:tblBorders>
      </w:tblPr>
      <w:tblGrid>
        <w:gridCol w:w="4200"/>
        <w:gridCol w:w="5160"/>
      </w:tblGrid>
      <w:tr>
        <w:trPr>
          <w:tblHeader/>
        </w:trPr>
        <w:tc>
          <w:tcPr>
            <w:tcW w:type="dxa" w:w="4200"/>
            <w:shd w:fill="EEF3F9" w:val="clear"/>
            <w:tcMar>
              <w:top w:type="dxa" w:w="80"/>
              <w:left w:type="dxa" w:w="120"/>
              <w:bottom w:type="dxa" w:w="80"/>
              <w:right w:type="dxa" w:w="120"/>
            </w:tcMar>
          </w:tcPr>
          <w:p>
            <w:pPr>
              <w:spacing w:after="0" w:line="240"/>
            </w:pPr>
            <w:r>
              <w:rPr>
                <w:b/>
                <w:bCs/>
                <w:sz w:val="20"/>
                <w:szCs w:val="20"/>
              </w:rPr>
              <w:t xml:space="preserve">Submitted answer</w:t>
            </w:r>
          </w:p>
        </w:tc>
        <w:tc>
          <w:tcPr>
            <w:tcW w:type="dxa" w:w="5160"/>
            <w:shd w:fill="EEF3F9" w:val="clear"/>
            <w:tcMar>
              <w:top w:type="dxa" w:w="80"/>
              <w:left w:type="dxa" w:w="120"/>
              <w:bottom w:type="dxa" w:w="80"/>
              <w:right w:type="dxa" w:w="120"/>
            </w:tcMar>
          </w:tcPr>
          <w:p>
            <w:pPr>
              <w:spacing w:after="0" w:line="240"/>
            </w:pPr>
            <w:r>
              <w:rPr>
                <w:b/>
                <w:bCs/>
                <w:sz w:val="20"/>
                <w:szCs w:val="20"/>
              </w:rPr>
              <w:t xml:space="preserve">Result</w:t>
            </w:r>
          </w:p>
        </w:tc>
      </w:tr>
      <w:tr>
        <w:tc>
          <w:tcPr>
            <w:tcW w:type="dxa" w:w="4200"/>
            <w:tcMar>
              <w:top w:type="dxa" w:w="80"/>
              <w:left w:type="dxa" w:w="120"/>
              <w:bottom w:type="dxa" w:w="80"/>
              <w:right w:type="dxa" w:w="120"/>
            </w:tcMar>
          </w:tcPr>
          <w:p>
            <w:pPr>
              <w:spacing w:after="0" w:line="240"/>
            </w:pPr>
            <w:r>
              <w:rPr>
                <w:b w:val="false"/>
                <w:bCs w:val="false"/>
                <w:sz w:val="20"/>
                <w:szCs w:val="20"/>
              </w:rPr>
              <w:t xml:space="preserve">Acute appendicitis</w:t>
            </w:r>
          </w:p>
        </w:tc>
        <w:tc>
          <w:tcPr>
            <w:tcW w:type="dxa" w:w="5160"/>
            <w:tcMar>
              <w:top w:type="dxa" w:w="80"/>
              <w:left w:type="dxa" w:w="120"/>
              <w:bottom w:type="dxa" w:w="80"/>
              <w:right w:type="dxa" w:w="120"/>
            </w:tcMar>
          </w:tcPr>
          <w:p>
            <w:pPr>
              <w:spacing w:after="0" w:line="240"/>
            </w:pPr>
            <w:r>
              <w:rPr>
                <w:b w:val="false"/>
                <w:bCs w:val="false"/>
                <w:sz w:val="20"/>
                <w:szCs w:val="20"/>
              </w:rPr>
              <w:t xml:space="preserve">10 / 10 — correct</w:t>
            </w:r>
          </w:p>
        </w:tc>
      </w:tr>
      <w:tr>
        <w:tc>
          <w:tcPr>
            <w:tcW w:type="dxa" w:w="4200"/>
            <w:tcMar>
              <w:top w:type="dxa" w:w="80"/>
              <w:left w:type="dxa" w:w="120"/>
              <w:bottom w:type="dxa" w:w="80"/>
              <w:right w:type="dxa" w:w="120"/>
            </w:tcMar>
          </w:tcPr>
          <w:p>
            <w:pPr>
              <w:spacing w:after="0" w:line="240"/>
            </w:pPr>
            <w:r>
              <w:rPr>
                <w:b w:val="false"/>
                <w:bCs w:val="false"/>
                <w:sz w:val="20"/>
                <w:szCs w:val="20"/>
              </w:rPr>
              <w:t xml:space="preserve">  ACUTE   Appendicitis. </w:t>
            </w:r>
          </w:p>
        </w:tc>
        <w:tc>
          <w:tcPr>
            <w:tcW w:type="dxa" w:w="5160"/>
            <w:tcMar>
              <w:top w:type="dxa" w:w="80"/>
              <w:left w:type="dxa" w:w="120"/>
              <w:bottom w:type="dxa" w:w="80"/>
              <w:right w:type="dxa" w:w="120"/>
            </w:tcMar>
          </w:tcPr>
          <w:p>
            <w:pPr>
              <w:spacing w:after="0" w:line="240"/>
            </w:pPr>
            <w:r>
              <w:rPr>
                <w:b w:val="false"/>
                <w:bCs w:val="false"/>
                <w:sz w:val="20"/>
                <w:szCs w:val="20"/>
              </w:rPr>
              <w:t xml:space="preserve">10 / 10 — same key after normalization</w:t>
            </w:r>
          </w:p>
        </w:tc>
      </w:tr>
      <w:tr>
        <w:tc>
          <w:tcPr>
            <w:tcW w:type="dxa" w:w="4200"/>
            <w:tcMar>
              <w:top w:type="dxa" w:w="80"/>
              <w:left w:type="dxa" w:w="120"/>
              <w:bottom w:type="dxa" w:w="80"/>
              <w:right w:type="dxa" w:w="120"/>
            </w:tcMar>
          </w:tcPr>
          <w:p>
            <w:pPr>
              <w:spacing w:after="0" w:line="240"/>
            </w:pPr>
            <w:r>
              <w:rPr>
                <w:b w:val="false"/>
                <w:bCs w:val="false"/>
                <w:sz w:val="20"/>
                <w:szCs w:val="20"/>
              </w:rPr>
              <w:t xml:space="preserve">appendicitis</w:t>
            </w:r>
          </w:p>
        </w:tc>
        <w:tc>
          <w:tcPr>
            <w:tcW w:type="dxa" w:w="5160"/>
            <w:tcMar>
              <w:top w:type="dxa" w:w="80"/>
              <w:left w:type="dxa" w:w="120"/>
              <w:bottom w:type="dxa" w:w="80"/>
              <w:right w:type="dxa" w:w="120"/>
            </w:tcMar>
          </w:tcPr>
          <w:p>
            <w:pPr>
              <w:spacing w:after="0" w:line="240"/>
            </w:pPr>
            <w:r>
              <w:rPr>
                <w:b w:val="false"/>
                <w:bCs w:val="false"/>
                <w:sz w:val="20"/>
                <w:szCs w:val="20"/>
              </w:rPr>
              <w:t xml:space="preserve">10 / 10 — accepted synonym (its own answer row)</w:t>
            </w:r>
          </w:p>
        </w:tc>
      </w:tr>
      <w:tr>
        <w:tc>
          <w:tcPr>
            <w:tcW w:type="dxa" w:w="4200"/>
            <w:tcMar>
              <w:top w:type="dxa" w:w="80"/>
              <w:left w:type="dxa" w:w="120"/>
              <w:bottom w:type="dxa" w:w="80"/>
              <w:right w:type="dxa" w:w="120"/>
            </w:tcMar>
          </w:tcPr>
          <w:p>
            <w:pPr>
              <w:spacing w:after="0" w:line="240"/>
            </w:pPr>
            <w:r>
              <w:rPr>
                <w:b w:val="false"/>
                <w:bCs w:val="false"/>
                <w:sz w:val="20"/>
                <w:szCs w:val="20"/>
              </w:rPr>
              <w:t xml:space="preserve">Mesenteric lymphadenitis</w:t>
            </w:r>
          </w:p>
        </w:tc>
        <w:tc>
          <w:tcPr>
            <w:tcW w:type="dxa" w:w="5160"/>
            <w:tcMar>
              <w:top w:type="dxa" w:w="80"/>
              <w:left w:type="dxa" w:w="120"/>
              <w:bottom w:type="dxa" w:w="80"/>
              <w:right w:type="dxa" w:w="120"/>
            </w:tcMar>
          </w:tcPr>
          <w:p>
            <w:pPr>
              <w:spacing w:after="0" w:line="240"/>
            </w:pPr>
            <w:r>
              <w:rPr>
                <w:b w:val="false"/>
                <w:bCs w:val="false"/>
                <w:sz w:val="20"/>
                <w:szCs w:val="20"/>
              </w:rPr>
              <w:t xml:space="preserve">3 / 10 — partially correct (differential)</w:t>
            </w:r>
          </w:p>
        </w:tc>
      </w:tr>
      <w:tr>
        <w:tc>
          <w:tcPr>
            <w:tcW w:type="dxa" w:w="4200"/>
            <w:tcMar>
              <w:top w:type="dxa" w:w="80"/>
              <w:left w:type="dxa" w:w="120"/>
              <w:bottom w:type="dxa" w:w="80"/>
              <w:right w:type="dxa" w:w="120"/>
            </w:tcMar>
          </w:tcPr>
          <w:p>
            <w:pPr>
              <w:spacing w:after="0" w:line="240"/>
            </w:pPr>
            <w:r>
              <w:rPr>
                <w:b w:val="false"/>
                <w:bCs w:val="false"/>
                <w:sz w:val="20"/>
                <w:szCs w:val="20"/>
              </w:rPr>
              <w:t xml:space="preserve">Migraine</w:t>
            </w:r>
          </w:p>
        </w:tc>
        <w:tc>
          <w:tcPr>
            <w:tcW w:type="dxa" w:w="5160"/>
            <w:tcMar>
              <w:top w:type="dxa" w:w="80"/>
              <w:left w:type="dxa" w:w="120"/>
              <w:bottom w:type="dxa" w:w="80"/>
              <w:right w:type="dxa" w:w="120"/>
            </w:tcMar>
          </w:tcPr>
          <w:p>
            <w:pPr>
              <w:spacing w:after="0" w:line="240"/>
            </w:pPr>
            <w:r>
              <w:rPr>
                <w:b w:val="false"/>
                <w:bCs w:val="false"/>
                <w:sz w:val="20"/>
                <w:szCs w:val="20"/>
              </w:rPr>
              <w:t xml:space="preserve">0 / 10 — incorrect</w:t>
            </w:r>
          </w:p>
        </w:tc>
      </w:tr>
    </w:tbl>
    <w:p>
      <w:pPr>
        <w:spacing w:after="120"/>
      </w:pPr>
    </w:p>
    <w:p>
      <w:pPr>
        <w:spacing w:after="120" w:line="276"/>
      </w:pPr>
      <w:r>
        <w:t xml:space="preserve">Every attempt is persisted with both the raw and the normalized answer and the answer row it matched. Feedback states the outcome but never reveals the correct answer: participants can retry, so GET and POST /score both have to stay useless as an answer source.</w:t>
      </w:r>
    </w:p>
    <w:p>
      <w:pPr>
        <w:pStyle w:val="Heading2"/>
        <w:spacing w:after="120" w:before="240"/>
      </w:pPr>
      <w:r>
        <w:t xml:space="preserve">The security invariant</w:t>
      </w:r>
    </w:p>
    <w:p>
      <w:pPr>
        <w:pBdr>
          <w:left w:val="single" w:color="9A6700" w:sz="18" w:space="8"/>
        </w:pBdr>
        <w:shd w:fill="FFF8E5" w:val="clear"/>
        <w:spacing w:after="160" w:before="120" w:line="276"/>
        <w:ind w:left="120" w:right="120"/>
      </w:pPr>
      <w:r>
        <w:rPr>
          <w:b/>
          <w:bCs/>
        </w:rPr>
        <w:t xml:space="preserve">The answer key is stored by the backend and never leaves it before a submission.</w:t>
      </w:r>
    </w:p>
    <w:p>
      <w:pPr>
        <w:spacing w:after="120" w:line="276"/>
      </w:pPr>
      <w:r>
        <w:t xml:space="preserve">PublicClinicalCase has no answer-related fields at all, and the public read path uses selectinload(findings) only — with lazy=“raise” on answers, the answer key is not even loaded into memory on that path. The invariant is asserted three independent ways:</w:t>
      </w:r>
    </w:p>
    <w:p>
      <w:pPr>
        <w:pStyle w:val="ListParagraph"/>
        <w:numPr>
          <w:ilvl w:val="0"/>
          <w:numId w:val="3"/>
        </w:numPr>
        <w:spacing w:after="80" w:line="276"/>
      </w:pPr>
      <w:r>
        <w:t xml:space="preserve">an API test that greps the raw HTTP body for the diagnosis strings and for is_correct / score_weight / answer;</w:t>
      </w:r>
    </w:p>
    <w:p>
      <w:pPr>
        <w:pStyle w:val="ListParagraph"/>
        <w:numPr>
          <w:ilvl w:val="0"/>
          <w:numId w:val="3"/>
        </w:numPr>
        <w:spacing w:after="80" w:line="276"/>
      </w:pPr>
      <w:r>
        <w:t xml:space="preserve">a contract test asserting the published OpenAPI PublicClinicalCase schema contains no such property;</w:t>
      </w:r>
    </w:p>
    <w:p>
      <w:pPr>
        <w:pStyle w:val="ListParagraph"/>
        <w:numPr>
          <w:ilvl w:val="0"/>
          <w:numId w:val="3"/>
        </w:numPr>
        <w:spacing w:after="80" w:line="276"/>
      </w:pPr>
      <w:r>
        <w:t xml:space="preserve">the end-to-end smoke test, which checks both the API response and the rendered HTML.</w:t>
      </w:r>
    </w:p>
    <w:p>
      <w:pPr>
        <w:spacing w:after="120" w:line="276"/>
      </w:pPr>
      <w:r>
        <w:t xml:space="preserve">That third check earned its place: the diagnosis form originally carried the placeholder hint “e.g. Acute appendicitis”, which is exactly the answer to the smoke-test case. The smoke test failed, and the hint was rewritten. A unit test would not have caught it.</w:t>
      </w:r>
    </w:p>
    <w:p>
      <w:pPr>
        <w:pStyle w:val="Heading2"/>
        <w:spacing w:after="120" w:before="240"/>
      </w:pPr>
      <w:r>
        <w:t xml:space="preserve">Other hardening</w:t>
      </w:r>
    </w:p>
    <w:p>
      <w:pPr>
        <w:spacing w:after="120" w:line="276"/>
      </w:pPr>
      <w:r>
        <w:t xml:space="preserve">Authoring (POST /cases) requires X-Admin-API-Key, compared with hmac.compare_digest. With ENVIRONMENT=production the app refuses to start without that key and disables /docs and /openapi.json. Errors return {“detail”: …} — no stack traces, SQL or connection strings. Logs are structured JSON with a request id, carrying ids, status, duration and field paths, never bodies or prompts. Each response gets nosniff, X-Frame-Options: DENY, no-referrer, no-store. The connection pool is small and has an explicit connect timeout, so an unreachable database fails fast instead of holding request slots.</w:t>
      </w:r>
    </w:p>
    <w:p>
      <w:pPr>
        <w:pStyle w:val="Heading1"/>
        <w:spacing w:after="160" w:before="320"/>
      </w:pPr>
      <w:r>
        <w:t xml:space="preserve">4. Frontend and the shared contract</w:t>
      </w:r>
    </w:p>
    <w:p>
      <w:pPr>
        <w:spacing w:after="120" w:line="276"/>
      </w:pPr>
      <w:r>
        <w:t xml:space="preserve">/cases/[id] is a Server Component: it fetches the case and renders the title, demographics, presentation and findings grouped by category, with loading.tsx, not-found.tsx and error.tsx for the paths that are not the happy one. The Client Component owns only the diagnosis form — its pending state, validation message and result. It never computes a score.</w:t>
      </w:r>
    </w:p>
    <w:p>
      <w:pPr>
        <w:spacing w:after="120" w:line="276"/>
      </w:pPr>
      <w:r>
        <w:t xml:space="preserve">Submission goes through a Server Action, so the browser never calls the API directly. API_BASE_URL is read server-side only (not NEXT_PUBLIC_*), which means the backend URL never reaches the bundle and there is no CORS surface to configure. Backend failures are modelled as a discriminated result (not_found | invalid | unavailable) rather than thrown strings, so each one is handled explicitly and the user sees a sensible message while details stay in the server log.</w:t>
      </w:r>
    </w:p>
    <w:p>
      <w:pPr>
        <w:spacing w:after="120" w:line="276"/>
      </w:pPr>
      <w:r>
        <w:t xml:space="preserve">Types are generated, never hand-copied:</w:t>
      </w:r>
    </w:p>
    <w:p>
      <w:pPr>
        <w:shd w:fill="F4F6F8" w:val="clear"/>
        <w:spacing w:after="160" w:line="240"/>
        <w:ind w:left="180"/>
      </w:pPr>
      <w:r>
        <w:rPr>
          <w:rFonts w:ascii="Consolas" w:cs="Consolas" w:eastAsia="Consolas" w:hAnsi="Consolas"/>
          <w:sz w:val="19"/>
          <w:szCs w:val="19"/>
        </w:rPr>
        <w:t xml:space="preserve">backend → contracts/openapi.json → openapi-typescript → frontend/src/generated/api.d.ts</w:t>
      </w:r>
    </w:p>
    <w:p>
      <w:pPr>
        <w:spacing w:after="120" w:line="276"/>
      </w:pPr>
      <w:r>
        <w:t xml:space="preserve">consumed through a typed openapi-fetch client. Both artefacts are committed, and CI regenerates them and fails on any diff — the contract cannot drift from the code. The LLM pipeline validates its output against the same document.</w:t>
      </w:r>
    </w:p>
    <w:p>
      <w:pPr>
        <w:pStyle w:val="Heading1"/>
        <w:spacing w:after="160" w:before="320"/>
      </w:pPr>
      <w:r>
        <w:t xml:space="preserve">5. LLM pipeline and evaluation</w:t>
      </w:r>
    </w:p>
    <w:p>
      <w:pPr>
        <w:pStyle w:val="Heading2"/>
        <w:spacing w:after="120" w:before="240"/>
      </w:pPr>
      <w:r>
        <w:t xml:space="preserve">Extraction</w:t>
      </w:r>
    </w:p>
    <w:p>
      <w:pPr>
        <w:spacing w:after="120" w:line="276"/>
      </w:pPr>
      <w:r>
        <w:t xml:space="preserve">raw clinical text → ClinicalCaseExtraction, a contract that mirrors the backend's create schema so the result is POSTable unchanged.</w:t>
      </w:r>
    </w:p>
    <w:p>
      <w:pPr>
        <w:pStyle w:val="ListParagraph"/>
        <w:numPr>
          <w:ilvl w:val="0"/>
          <w:numId w:val="2"/>
        </w:numPr>
        <w:spacing w:after="80" w:line="276"/>
      </w:pPr>
      <w:r>
        <w:rPr>
          <w:b/>
          <w:bCs/>
        </w:rPr>
        <w:t xml:space="preserve">Structured output, not parsing. </w:t>
      </w:r>
      <w:r>
        <w:t xml:space="preserve">Gemini is constrained with response_json_schema at temperature=0. No regex, no markdown scraping.</w:t>
      </w:r>
    </w:p>
    <w:p>
      <w:pPr>
        <w:pStyle w:val="ListParagraph"/>
        <w:numPr>
          <w:ilvl w:val="0"/>
          <w:numId w:val="2"/>
        </w:numPr>
        <w:spacing w:after="80" w:line="276"/>
      </w:pPr>
      <w:r>
        <w:rPr>
          <w:b/>
          <w:bCs/>
        </w:rPr>
        <w:t xml:space="preserve">Validation is mandatory. </w:t>
      </w:r>
      <w:r>
        <w:t xml:space="preserve">Every response is validated with Pydantic. A violation raises SchemaValidationError and is not retried and not repaired with a fallback — a malformed clinical extraction must surface.</w:t>
      </w:r>
    </w:p>
    <w:p>
      <w:pPr>
        <w:pStyle w:val="ListParagraph"/>
        <w:numPr>
          <w:ilvl w:val="0"/>
          <w:numId w:val="2"/>
        </w:numPr>
        <w:spacing w:after="80" w:line="276"/>
      </w:pPr>
      <w:r>
        <w:rPr>
          <w:b/>
          <w:bCs/>
        </w:rPr>
        <w:t xml:space="preserve">Retries are narrow. </w:t>
      </w:r>
      <w:r>
        <w:t xml:space="preserve">Bounded exponential backoff for transient provider errors (429, 5xx) only; 4xx and safety blocks fail immediately.</w:t>
      </w:r>
    </w:p>
    <w:p>
      <w:pPr>
        <w:pStyle w:val="ListParagraph"/>
        <w:numPr>
          <w:ilvl w:val="0"/>
          <w:numId w:val="2"/>
        </w:numPr>
        <w:spacing w:after="80" w:line="276"/>
      </w:pPr>
      <w:r>
        <w:rPr>
          <w:b/>
          <w:bCs/>
        </w:rPr>
        <w:t xml:space="preserve">The model does not diagnose. </w:t>
      </w:r>
      <w:r>
        <w:t xml:space="preserve">The prompt restricts it to diagnoses the source text states, and requires null for unstated age or sex instead of an estimate.</w:t>
      </w:r>
    </w:p>
    <w:p>
      <w:pPr>
        <w:pStyle w:val="ListParagraph"/>
        <w:numPr>
          <w:ilvl w:val="0"/>
          <w:numId w:val="2"/>
        </w:numPr>
        <w:spacing w:after="80" w:line="276"/>
      </w:pPr>
      <w:r>
        <w:rPr>
          <w:b/>
          <w:bCs/>
        </w:rPr>
        <w:t xml:space="preserve">The model does not score either. </w:t>
      </w:r>
      <w:r>
        <w:t xml:space="preserve">The first prompt asked it to weight a differential “by clinical proximity” — a number the source text does not contain, invented by the model, in a pipeline whose first rule is to invent nothing. Extraction (extract-v2) now records only which diagnosis the source establishes; score weights are assigned afterwards by an explicit deterministic policy, so the number is a product decision an editor can change rather than a model guess.</w:t>
      </w:r>
    </w:p>
    <w:p>
      <w:pPr>
        <w:pStyle w:val="ListParagraph"/>
        <w:numPr>
          <w:ilvl w:val="0"/>
          <w:numId w:val="2"/>
        </w:numPr>
        <w:spacing w:after="80" w:line="276"/>
      </w:pPr>
      <w:r>
        <w:rPr>
          <w:b/>
          <w:bCs/>
        </w:rPr>
        <w:t xml:space="preserve">Provider boundary. </w:t>
      </w:r>
      <w:r>
        <w:t xml:space="preserve">A Protocol with a Gemini implementation and a fake one, so the pipeline, the harness and the tests all run with no network and no credentials.</w:t>
      </w:r>
    </w:p>
    <w:p>
      <w:pPr>
        <w:pStyle w:val="ListParagraph"/>
        <w:numPr>
          <w:ilvl w:val="0"/>
          <w:numId w:val="2"/>
        </w:numPr>
        <w:spacing w:after="80" w:line="276"/>
      </w:pPr>
      <w:r>
        <w:rPr>
          <w:b/>
          <w:bCs/>
        </w:rPr>
        <w:t xml:space="preserve">Provenance and logging. </w:t>
      </w:r>
      <w:r>
        <w:t xml:space="preserve">The model name and prompt version travel with each extracted case; logs carry field paths and error types, never clinical text.</w:t>
      </w:r>
    </w:p>
    <w:p>
      <w:pPr>
        <w:spacing w:after="120" w:line="276"/>
      </w:pPr>
      <w:r>
        <w:t xml:space="preserve">One finding worth calling out, because it came from reviewing my own code rather than from a test: a validation failure was originally logged with logger.exception, which is the idiomatic choice and what the linter pushes you toward. But Pydantic embeds the offending input values in its error message — here, the clinical narrative — so the traceback would have written patient text into the logs, defeating the logging policy stated above. Validation failures now log field paths and error types with no exc_info, and a regression test asserts the clinical marker never reaches the log.</w:t>
      </w:r>
    </w:p>
    <w:p>
      <w:pPr>
        <w:pStyle w:val="Heading2"/>
        <w:spacing w:after="120" w:before="240"/>
      </w:pPr>
      <w:r>
        <w:t xml:space="preserve">Eval methodology</w:t>
      </w:r>
    </w:p>
    <w:p>
      <w:pPr>
        <w:spacing w:after="120" w:line="276"/>
      </w:pPr>
      <w:r>
        <w:t xml:space="preserve">10 synthetic, de-identified vignettes with hand-written ground truth, covering synonym answer keys, differentials with partial credit, all seven finding categories, and one case with unstated demographics (to test that the model returns null rather than guessing).</w:t>
      </w:r>
    </w:p>
    <w:p>
      <w:pPr>
        <w:spacing w:after="120" w:line="276"/>
      </w:pPr>
      <w:r>
        <w:t xml:space="preserve">Metrics are deterministic against that ground truth — no LLM-as-a-judge, because with labels available an exact metric is both cheaper and more defensible: schema_valid_rate, age and sex accuracy, answer_key_accuracy (exact set match of accepted correct diagnoses — a missed synonym silently rejects valid physician answers in production), findings precision / recall / F1, finding-category accuracy, exact_case_match_rate, and the id and reason for every failure.</w:t>
      </w:r>
    </w:p>
    <w:p>
      <w:pPr>
        <w:spacing w:after="120" w:line="276"/>
      </w:pPr>
      <w:r>
        <w:t xml:space="preserve">The offline fixtures deliberately inject four known defects: a dropped finding, a missing synonym, a nulled age, and an invalid category. The harness is therefore proven to detect errors rather than always reporting a perfect score, and CI asserts those exact four failures:</w:t>
      </w:r>
    </w:p>
    <w:p>
      <w:pPr>
        <w:shd w:fill="F4F6F8" w:val="clear"/>
        <w:spacing w:after="0" w:line="240"/>
        <w:ind w:left="180"/>
      </w:pPr>
      <w:r>
        <w:rPr>
          <w:rFonts w:ascii="Consolas" w:cs="Consolas" w:eastAsia="Consolas" w:hAnsi="Consolas"/>
          <w:sz w:val="19"/>
          <w:szCs w:val="19"/>
        </w:rPr>
        <w:t xml:space="preserve">{ "provider": "fake", "model": "fake-extractor-1", "prompt_version": "extract-v2",</w:t>
      </w:r>
    </w:p>
    <w:p>
      <w:pPr>
        <w:shd w:fill="F4F6F8" w:val="clear"/>
        <w:spacing w:after="0" w:line="240"/>
        <w:ind w:left="180"/>
      </w:pPr>
      <w:r>
        <w:rPr>
          <w:rFonts w:ascii="Consolas" w:cs="Consolas" w:eastAsia="Consolas" w:hAnsi="Consolas"/>
          <w:sz w:val="19"/>
          <w:szCs w:val="19"/>
        </w:rPr>
        <w:t xml:space="preserve">  "total": 10, "scored": 9, "provider_errors": 0, "model_blocked": 0,</w:t>
      </w:r>
    </w:p>
    <w:p>
      <w:pPr>
        <w:shd w:fill="F4F6F8" w:val="clear"/>
        <w:spacing w:after="0" w:line="240"/>
        <w:ind w:left="180"/>
      </w:pPr>
      <w:r>
        <w:rPr>
          <w:rFonts w:ascii="Consolas" w:cs="Consolas" w:eastAsia="Consolas" w:hAnsi="Consolas"/>
          <w:sz w:val="19"/>
          <w:szCs w:val="19"/>
        </w:rPr>
        <w:t xml:space="preserve">  "schema_valid_rate": 0.9, "age_accuracy": 0.8889, "sex_accuracy": 1.0,</w:t>
      </w:r>
    </w:p>
    <w:p>
      <w:pPr>
        <w:shd w:fill="F4F6F8" w:val="clear"/>
        <w:spacing w:after="0" w:line="240"/>
        <w:ind w:left="180"/>
      </w:pPr>
      <w:r>
        <w:rPr>
          <w:rFonts w:ascii="Consolas" w:cs="Consolas" w:eastAsia="Consolas" w:hAnsi="Consolas"/>
          <w:sz w:val="19"/>
          <w:szCs w:val="19"/>
        </w:rPr>
        <w:t xml:space="preserve">  "answer_key_accuracy": 0.8889, "findings_f1": 0.9899, "exact_case_match_rate": 0.6,</w:t>
      </w:r>
    </w:p>
    <w:p>
      <w:pPr>
        <w:shd w:fill="F4F6F8" w:val="clear"/>
        <w:spacing w:after="0" w:line="240"/>
        <w:ind w:left="180"/>
      </w:pPr>
      <w:r>
        <w:rPr>
          <w:rFonts w:ascii="Consolas" w:cs="Consolas" w:eastAsia="Consolas" w:hAnsi="Consolas"/>
          <w:sz w:val="19"/>
          <w:szCs w:val="19"/>
        </w:rPr>
        <w:t xml:space="preserve">  "failures": ["case-003 findings", "case-005 answer_key",</w:t>
      </w:r>
    </w:p>
    <w:p>
      <w:pPr>
        <w:shd w:fill="F4F6F8" w:val="clear"/>
        <w:spacing w:after="160" w:line="240"/>
        <w:ind w:left="180"/>
      </w:pPr>
      <w:r>
        <w:rPr>
          <w:rFonts w:ascii="Consolas" w:cs="Consolas" w:eastAsia="Consolas" w:hAnsi="Consolas"/>
          <w:sz w:val="19"/>
          <w:szCs w:val="19"/>
        </w:rPr>
        <w:t xml:space="preserve">               "case-007 patient_age", "case-009 schema_invalid"] }</w:t>
      </w:r>
    </w:p>
    <w:p>
      <w:pPr>
        <w:pStyle w:val="Heading1"/>
        <w:spacing w:after="160" w:before="320"/>
      </w:pPr>
      <w:r>
        <w:t xml:space="preserve">6. Docker and GCP deployment</w:t>
      </w:r>
    </w:p>
    <w:p>
      <w:pPr>
        <w:spacing w:after="120" w:line="276"/>
      </w:pPr>
      <w:r>
        <w:t xml:space="preserve">Three images, all multi-stage and running as a non-root user. backend and frontend are services; llm_pipeline is a batch container whose entry point is the extraction CLI, deployed as a Cloud Run Job rather than a service: extraction is authoring work, not request-path work, so it should neither idle nor be able to take traffic.</w:t>
      </w:r>
    </w:p>
    <w:p>
      <w:pPr>
        <w:spacing w:after="120" w:line="276"/>
      </w:pPr>
      <w:r>
        <w:t xml:space="preserve">For the two services: the backend resolves dependencies from uv.lock in a builder stage and ships only the venv and source; the frontend uses Next.js output: “standalone”, so the runtime image carries a minimal server rather than node_modules. Both read PORT from the environment, as Cloud Run requires, and no secret is baked into a layer. docker compose up --wait brings up PostgreSQL, runs migrations as a separate one-shot service, then starts the API and the frontend — the same ordering as production.</w:t>
      </w:r>
    </w:p>
    <w:p>
      <w:pPr>
        <w:spacing w:after="120" w:line="276"/>
      </w:pPr>
      <w:r>
        <w:t xml:space="preserve">infra/DEPLOYMENT.md is the full runbook: Artifact Registry → images tagged with the commit SHA → Cloud SQL (PostgreSQL 17, private IP, point-in-time recovery, regional) → Secret Manager → four least-privilege service accounts → migrations as a Cloud Run Job → backend and frontend services → the extraction Job → smoke test and log check → rollback by traffic shift. Two deliberate decisions in there:</w:t>
      </w:r>
    </w:p>
    <w:p>
      <w:pPr>
        <w:spacing w:after="120" w:line="276"/>
      </w:pPr>
      <w:r>
        <w:t xml:space="preserve">Migrations are a controlled step, not on startup. With autoscaling, N instances would race on the same DDL, and a failed migration would crash-loop the service instead of failing one job. The job runs under its own service account, which has Cloud SQL access and the DB password but is not attached to any serving revision.</w:t>
      </w:r>
    </w:p>
    <w:p>
      <w:pPr>
        <w:spacing w:after="120" w:line="276"/>
      </w:pPr>
      <w:r>
        <w:t xml:space="preserve">Pool sizing is derived, not guessed. Cloud Run multiplies connections by instance count: max-instances × (pool_size + max_overflow) = 10 × 7 = 70 against max_connections=200, leaving headroom for the migration job and operator sessions. Raising max-instances without lowering the pool is the standard way to exhaust a Cloud SQL instance, so the two are reviewed together.</w:t>
      </w:r>
    </w:p>
    <w:p>
      <w:pPr>
        <w:spacing w:after="120" w:line="276"/>
      </w:pPr>
      <w:r>
        <w:t xml:space="preserve">The browser never calls the API, so the backend is deployed with --no-allow-unauthenticated, and only the frontend's service account holds roles/run.invoker on it. Ingress is all, deliberately: IAM closes the service on any network, whereas internal ingress is a network control that would require the frontend to egress through a VPC — without that it does not harden the service, it breaks it. One lock that works rather than two where one is wrong.</w:t>
      </w:r>
    </w:p>
    <w:p>
      <w:pPr>
        <w:pStyle w:val="Heading2"/>
        <w:spacing w:after="120" w:before="240"/>
      </w:pPr>
      <w:r>
        <w:t xml:space="preserve">Three things the first runbook got wrong</w:t>
      </w:r>
    </w:p>
    <w:p>
      <w:pPr>
        <w:spacing w:after="120" w:line="276"/>
      </w:pPr>
      <w:r>
        <w:t xml:space="preserve">roles/run.invoker permits a call; it does not authenticate one. A private Cloud Run service still requires a Google-signed ID token whose audience is the target service URL. The frontend now fetches one from the instance metadata server and attaches it to every backend request; outside Cloud Run it adds nothing, so local development is unchanged. Without this the deployment would have failed on its first request.</w:t>
      </w:r>
    </w:p>
    <w:p>
      <w:pPr>
        <w:spacing w:after="120" w:line="276"/>
      </w:pPr>
      <w:r>
        <w:t xml:space="preserve">Cloud Run does not expand variable references inside environment values: a DATABASE_URL containing ${DB_PASSWORD} arrives with that literal text as the password. The service now receives the parts separately and assembles the URL at runtime, which also escapes a generated password containing / @ or : correctly. A test covers both.</w:t>
      </w:r>
    </w:p>
    <w:p>
      <w:pPr>
        <w:spacing w:after="120" w:line="276"/>
      </w:pPr>
      <w:r>
        <w:t xml:space="preserve">A private-IP Cloud SQL instance needs more than --no-assign-ip. It needs Private Services Access for Google to peer the instance into, and a path out of Cloud Run into that VPC — Direct VPC egress, the current recommended option over a Serverless VPC Access connector. And the application then has to use that path: it connects to the instance's private address on 5432 as an ordinary PostgreSQL client, with TLS required on the instance. The managed /cloudsql Unix socket is the Auth Proxy's public-IP path, and a runbook that pairs it with a private-only instance has two half-paths and no connection. The runbook now has one.</w:t>
      </w:r>
    </w:p>
    <w:p>
      <w:pPr>
        <w:pStyle w:val="Heading1"/>
        <w:spacing w:after="160" w:before="320"/>
      </w:pPr>
      <w:r>
        <w:t xml:space="preserve">7. What was actually executed</w:t>
      </w:r>
    </w:p>
    <w:p>
      <w:pPr>
        <w:spacing w:after="120" w:line="276"/>
      </w:pPr>
      <w:r>
        <w:t xml:space="preserve">Everything below was run locally on this machine, and the numbers are the real output.</w:t>
      </w:r>
    </w:p>
    <w:tbl>
      <w:tblPr>
        <w:tblW w:type="dxa" w:w="9360"/>
        <w:tblBorders>
          <w:top w:val="single" w:color="C9D2DC" w:sz="6"/>
          <w:left w:val="single" w:color="C9D2DC" w:sz="6"/>
          <w:bottom w:val="single" w:color="C9D2DC" w:sz="6"/>
          <w:right w:val="single" w:color="C9D2DC" w:sz="6"/>
          <w:insideH w:val="single" w:color="DDE3EA" w:sz="4"/>
          <w:insideV w:val="single" w:color="DDE3EA" w:sz="4"/>
        </w:tblBorders>
      </w:tblPr>
      <w:tblGrid>
        <w:gridCol w:w="2700"/>
        <w:gridCol w:w="3300"/>
        <w:gridCol w:w="3360"/>
      </w:tblGrid>
      <w:tr>
        <w:trPr>
          <w:tblHeader/>
        </w:trPr>
        <w:tc>
          <w:tcPr>
            <w:tcW w:type="dxa" w:w="2700"/>
            <w:shd w:fill="EEF3F9" w:val="clear"/>
            <w:tcMar>
              <w:top w:type="dxa" w:w="80"/>
              <w:left w:type="dxa" w:w="120"/>
              <w:bottom w:type="dxa" w:w="80"/>
              <w:right w:type="dxa" w:w="120"/>
            </w:tcMar>
          </w:tcPr>
          <w:p>
            <w:pPr>
              <w:spacing w:after="0" w:line="240"/>
            </w:pPr>
            <w:r>
              <w:rPr>
                <w:b/>
                <w:bCs/>
                <w:sz w:val="20"/>
                <w:szCs w:val="20"/>
              </w:rPr>
              <w:t xml:space="preserve">Check</w:t>
            </w:r>
          </w:p>
        </w:tc>
        <w:tc>
          <w:tcPr>
            <w:tcW w:type="dxa" w:w="3300"/>
            <w:shd w:fill="EEF3F9" w:val="clear"/>
            <w:tcMar>
              <w:top w:type="dxa" w:w="80"/>
              <w:left w:type="dxa" w:w="120"/>
              <w:bottom w:type="dxa" w:w="80"/>
              <w:right w:type="dxa" w:w="120"/>
            </w:tcMar>
          </w:tcPr>
          <w:p>
            <w:pPr>
              <w:spacing w:after="0" w:line="240"/>
            </w:pPr>
            <w:r>
              <w:rPr>
                <w:b/>
                <w:bCs/>
                <w:sz w:val="20"/>
                <w:szCs w:val="20"/>
              </w:rPr>
              <w:t xml:space="preserve">Command</w:t>
            </w:r>
          </w:p>
        </w:tc>
        <w:tc>
          <w:tcPr>
            <w:tcW w:type="dxa" w:w="3360"/>
            <w:shd w:fill="EEF3F9" w:val="clear"/>
            <w:tcMar>
              <w:top w:type="dxa" w:w="80"/>
              <w:left w:type="dxa" w:w="120"/>
              <w:bottom w:type="dxa" w:w="80"/>
              <w:right w:type="dxa" w:w="120"/>
            </w:tcMar>
          </w:tcPr>
          <w:p>
            <w:pPr>
              <w:spacing w:after="0" w:line="240"/>
            </w:pPr>
            <w:r>
              <w:rPr>
                <w:b/>
                <w:bCs/>
                <w:sz w:val="20"/>
                <w:szCs w:val="20"/>
              </w:rPr>
              <w:t xml:space="preserve">Result</w:t>
            </w:r>
          </w:p>
        </w:tc>
      </w:tr>
      <w:tr>
        <w:tc>
          <w:tcPr>
            <w:tcW w:type="dxa" w:w="2700"/>
            <w:tcMar>
              <w:top w:type="dxa" w:w="80"/>
              <w:left w:type="dxa" w:w="120"/>
              <w:bottom w:type="dxa" w:w="80"/>
              <w:right w:type="dxa" w:w="120"/>
            </w:tcMar>
          </w:tcPr>
          <w:p>
            <w:pPr>
              <w:spacing w:after="0" w:line="240"/>
            </w:pPr>
            <w:r>
              <w:rPr>
                <w:b w:val="false"/>
                <w:bCs w:val="false"/>
                <w:sz w:val="20"/>
                <w:szCs w:val="20"/>
              </w:rPr>
              <w:t xml:space="preserve">Backend lint / format / types</w:t>
            </w:r>
          </w:p>
        </w:tc>
        <w:tc>
          <w:tcPr>
            <w:tcW w:type="dxa" w:w="3300"/>
            <w:tcMar>
              <w:top w:type="dxa" w:w="80"/>
              <w:left w:type="dxa" w:w="120"/>
              <w:bottom w:type="dxa" w:w="80"/>
              <w:right w:type="dxa" w:w="120"/>
            </w:tcMar>
          </w:tcPr>
          <w:p>
            <w:pPr>
              <w:spacing w:after="0" w:line="240"/>
            </w:pPr>
            <w:r>
              <w:rPr>
                <w:b w:val="false"/>
                <w:bCs w:val="false"/>
                <w:sz w:val="20"/>
                <w:szCs w:val="20"/>
              </w:rPr>
              <w:t xml:space="preserve">ruff check, ruff format --check, mypy --strict</w:t>
            </w:r>
          </w:p>
        </w:tc>
        <w:tc>
          <w:tcPr>
            <w:tcW w:type="dxa" w:w="3360"/>
            <w:tcMar>
              <w:top w:type="dxa" w:w="80"/>
              <w:left w:type="dxa" w:w="120"/>
              <w:bottom w:type="dxa" w:w="80"/>
              <w:right w:type="dxa" w:w="120"/>
            </w:tcMar>
          </w:tcPr>
          <w:p>
            <w:pPr>
              <w:spacing w:after="0" w:line="240"/>
            </w:pPr>
            <w:r>
              <w:rPr>
                <w:b w:val="false"/>
                <w:bCs w:val="false"/>
                <w:sz w:val="20"/>
                <w:szCs w:val="20"/>
              </w:rPr>
              <w:t xml:space="preserve">clean</w:t>
            </w:r>
          </w:p>
        </w:tc>
      </w:tr>
      <w:tr>
        <w:tc>
          <w:tcPr>
            <w:tcW w:type="dxa" w:w="2700"/>
            <w:tcMar>
              <w:top w:type="dxa" w:w="80"/>
              <w:left w:type="dxa" w:w="120"/>
              <w:bottom w:type="dxa" w:w="80"/>
              <w:right w:type="dxa" w:w="120"/>
            </w:tcMar>
          </w:tcPr>
          <w:p>
            <w:pPr>
              <w:spacing w:after="0" w:line="240"/>
            </w:pPr>
            <w:r>
              <w:rPr>
                <w:b w:val="false"/>
                <w:bCs w:val="false"/>
                <w:sz w:val="20"/>
                <w:szCs w:val="20"/>
              </w:rPr>
              <w:t xml:space="preserve">Backend tests (real PostgreSQL)</w:t>
            </w:r>
          </w:p>
        </w:tc>
        <w:tc>
          <w:tcPr>
            <w:tcW w:type="dxa" w:w="3300"/>
            <w:tcMar>
              <w:top w:type="dxa" w:w="80"/>
              <w:left w:type="dxa" w:w="120"/>
              <w:bottom w:type="dxa" w:w="80"/>
              <w:right w:type="dxa" w:w="120"/>
            </w:tcMar>
          </w:tcPr>
          <w:p>
            <w:pPr>
              <w:spacing w:after="0" w:line="240"/>
            </w:pPr>
            <w:r>
              <w:rPr>
                <w:b w:val="false"/>
                <w:bCs w:val="false"/>
                <w:sz w:val="20"/>
                <w:szCs w:val="20"/>
              </w:rPr>
              <w:t xml:space="preserve">uv run pytest --cov</w:t>
            </w:r>
          </w:p>
        </w:tc>
        <w:tc>
          <w:tcPr>
            <w:tcW w:type="dxa" w:w="3360"/>
            <w:tcMar>
              <w:top w:type="dxa" w:w="80"/>
              <w:left w:type="dxa" w:w="120"/>
              <w:bottom w:type="dxa" w:w="80"/>
              <w:right w:type="dxa" w:w="120"/>
            </w:tcMar>
          </w:tcPr>
          <w:p>
            <w:pPr>
              <w:spacing w:after="0" w:line="240"/>
            </w:pPr>
            <w:r>
              <w:rPr>
                <w:b w:val="false"/>
                <w:bCs w:val="false"/>
                <w:sz w:val="20"/>
                <w:szCs w:val="20"/>
              </w:rPr>
              <w:t xml:space="preserve">53 passed, coverage 98.31% (gate 90%)</w:t>
            </w:r>
          </w:p>
        </w:tc>
      </w:tr>
      <w:tr>
        <w:tc>
          <w:tcPr>
            <w:tcW w:type="dxa" w:w="2700"/>
            <w:tcMar>
              <w:top w:type="dxa" w:w="80"/>
              <w:left w:type="dxa" w:w="120"/>
              <w:bottom w:type="dxa" w:w="80"/>
              <w:right w:type="dxa" w:w="120"/>
            </w:tcMar>
          </w:tcPr>
          <w:p>
            <w:pPr>
              <w:spacing w:after="0" w:line="240"/>
            </w:pPr>
            <w:r>
              <w:rPr>
                <w:b w:val="false"/>
                <w:bCs w:val="false"/>
                <w:sz w:val="20"/>
                <w:szCs w:val="20"/>
              </w:rPr>
              <w:t xml:space="preserve">Migration integrity</w:t>
            </w:r>
          </w:p>
        </w:tc>
        <w:tc>
          <w:tcPr>
            <w:tcW w:type="dxa" w:w="3300"/>
            <w:tcMar>
              <w:top w:type="dxa" w:w="80"/>
              <w:left w:type="dxa" w:w="120"/>
              <w:bottom w:type="dxa" w:w="80"/>
              <w:right w:type="dxa" w:w="120"/>
            </w:tcMar>
          </w:tcPr>
          <w:p>
            <w:pPr>
              <w:spacing w:after="0" w:line="240"/>
            </w:pPr>
            <w:r>
              <w:rPr>
                <w:b w:val="false"/>
                <w:bCs w:val="false"/>
                <w:sz w:val="20"/>
                <w:szCs w:val="20"/>
              </w:rPr>
              <w:t xml:space="preserve">alembic upgrade head, alembic check, up/down/up</w:t>
            </w:r>
          </w:p>
        </w:tc>
        <w:tc>
          <w:tcPr>
            <w:tcW w:type="dxa" w:w="3360"/>
            <w:tcMar>
              <w:top w:type="dxa" w:w="80"/>
              <w:left w:type="dxa" w:w="120"/>
              <w:bottom w:type="dxa" w:w="80"/>
              <w:right w:type="dxa" w:w="120"/>
            </w:tcMar>
          </w:tcPr>
          <w:p>
            <w:pPr>
              <w:spacing w:after="0" w:line="240"/>
            </w:pPr>
            <w:r>
              <w:rPr>
                <w:b w:val="false"/>
                <w:bCs w:val="false"/>
                <w:sz w:val="20"/>
                <w:szCs w:val="20"/>
              </w:rPr>
              <w:t xml:space="preserve">no drift</w:t>
            </w:r>
          </w:p>
        </w:tc>
      </w:tr>
      <w:tr>
        <w:tc>
          <w:tcPr>
            <w:tcW w:type="dxa" w:w="2700"/>
            <w:tcMar>
              <w:top w:type="dxa" w:w="80"/>
              <w:left w:type="dxa" w:w="120"/>
              <w:bottom w:type="dxa" w:w="80"/>
              <w:right w:type="dxa" w:w="120"/>
            </w:tcMar>
          </w:tcPr>
          <w:p>
            <w:pPr>
              <w:spacing w:after="0" w:line="240"/>
            </w:pPr>
            <w:r>
              <w:rPr>
                <w:b w:val="false"/>
                <w:bCs w:val="false"/>
                <w:sz w:val="20"/>
                <w:szCs w:val="20"/>
              </w:rPr>
              <w:t xml:space="preserve">Pipeline lint / types</w:t>
            </w:r>
          </w:p>
        </w:tc>
        <w:tc>
          <w:tcPr>
            <w:tcW w:type="dxa" w:w="3300"/>
            <w:tcMar>
              <w:top w:type="dxa" w:w="80"/>
              <w:left w:type="dxa" w:w="120"/>
              <w:bottom w:type="dxa" w:w="80"/>
              <w:right w:type="dxa" w:w="120"/>
            </w:tcMar>
          </w:tcPr>
          <w:p>
            <w:pPr>
              <w:spacing w:after="0" w:line="240"/>
            </w:pPr>
            <w:r>
              <w:rPr>
                <w:b w:val="false"/>
                <w:bCs w:val="false"/>
                <w:sz w:val="20"/>
                <w:szCs w:val="20"/>
              </w:rPr>
              <w:t xml:space="preserve">ruff, mypy --strict</w:t>
            </w:r>
          </w:p>
        </w:tc>
        <w:tc>
          <w:tcPr>
            <w:tcW w:type="dxa" w:w="3360"/>
            <w:tcMar>
              <w:top w:type="dxa" w:w="80"/>
              <w:left w:type="dxa" w:w="120"/>
              <w:bottom w:type="dxa" w:w="80"/>
              <w:right w:type="dxa" w:w="120"/>
            </w:tcMar>
          </w:tcPr>
          <w:p>
            <w:pPr>
              <w:spacing w:after="0" w:line="240"/>
            </w:pPr>
            <w:r>
              <w:rPr>
                <w:b w:val="false"/>
                <w:bCs w:val="false"/>
                <w:sz w:val="20"/>
                <w:szCs w:val="20"/>
              </w:rPr>
              <w:t xml:space="preserve">clean</w:t>
            </w:r>
          </w:p>
        </w:tc>
      </w:tr>
      <w:tr>
        <w:tc>
          <w:tcPr>
            <w:tcW w:type="dxa" w:w="2700"/>
            <w:tcMar>
              <w:top w:type="dxa" w:w="80"/>
              <w:left w:type="dxa" w:w="120"/>
              <w:bottom w:type="dxa" w:w="80"/>
              <w:right w:type="dxa" w:w="120"/>
            </w:tcMar>
          </w:tcPr>
          <w:p>
            <w:pPr>
              <w:spacing w:after="0" w:line="240"/>
            </w:pPr>
            <w:r>
              <w:rPr>
                <w:b w:val="false"/>
                <w:bCs w:val="false"/>
                <w:sz w:val="20"/>
                <w:szCs w:val="20"/>
              </w:rPr>
              <w:t xml:space="preserve">Pipeline tests</w:t>
            </w:r>
          </w:p>
        </w:tc>
        <w:tc>
          <w:tcPr>
            <w:tcW w:type="dxa" w:w="3300"/>
            <w:tcMar>
              <w:top w:type="dxa" w:w="80"/>
              <w:left w:type="dxa" w:w="120"/>
              <w:bottom w:type="dxa" w:w="80"/>
              <w:right w:type="dxa" w:w="120"/>
            </w:tcMar>
          </w:tcPr>
          <w:p>
            <w:pPr>
              <w:spacing w:after="0" w:line="240"/>
            </w:pPr>
            <w:r>
              <w:rPr>
                <w:b w:val="false"/>
                <w:bCs w:val="false"/>
                <w:sz w:val="20"/>
                <w:szCs w:val="20"/>
              </w:rPr>
              <w:t xml:space="preserve">uv run pytest --cov</w:t>
            </w:r>
          </w:p>
        </w:tc>
        <w:tc>
          <w:tcPr>
            <w:tcW w:type="dxa" w:w="3360"/>
            <w:tcMar>
              <w:top w:type="dxa" w:w="80"/>
              <w:left w:type="dxa" w:w="120"/>
              <w:bottom w:type="dxa" w:w="80"/>
              <w:right w:type="dxa" w:w="120"/>
            </w:tcMar>
          </w:tcPr>
          <w:p>
            <w:pPr>
              <w:spacing w:after="0" w:line="240"/>
            </w:pPr>
            <w:r>
              <w:rPr>
                <w:b w:val="false"/>
                <w:bCs w:val="false"/>
                <w:sz w:val="20"/>
                <w:szCs w:val="20"/>
              </w:rPr>
              <w:t xml:space="preserve">120 passed, coverage 95.07% (gate 85%)</w:t>
            </w:r>
          </w:p>
        </w:tc>
      </w:tr>
      <w:tr>
        <w:tc>
          <w:tcPr>
            <w:tcW w:type="dxa" w:w="2700"/>
            <w:tcMar>
              <w:top w:type="dxa" w:w="80"/>
              <w:left w:type="dxa" w:w="120"/>
              <w:bottom w:type="dxa" w:w="80"/>
              <w:right w:type="dxa" w:w="120"/>
            </w:tcMar>
          </w:tcPr>
          <w:p>
            <w:pPr>
              <w:spacing w:after="0" w:line="240"/>
            </w:pPr>
            <w:r>
              <w:rPr>
                <w:b w:val="false"/>
                <w:bCs w:val="false"/>
                <w:sz w:val="20"/>
                <w:szCs w:val="20"/>
              </w:rPr>
              <w:t xml:space="preserve">Offline eval</w:t>
            </w:r>
          </w:p>
        </w:tc>
        <w:tc>
          <w:tcPr>
            <w:tcW w:type="dxa" w:w="3300"/>
            <w:tcMar>
              <w:top w:type="dxa" w:w="80"/>
              <w:left w:type="dxa" w:w="120"/>
              <w:bottom w:type="dxa" w:w="80"/>
              <w:right w:type="dxa" w:w="120"/>
            </w:tcMar>
          </w:tcPr>
          <w:p>
            <w:pPr>
              <w:spacing w:after="0" w:line="240"/>
            </w:pPr>
            <w:r>
              <w:rPr>
                <w:b w:val="false"/>
                <w:bCs w:val="false"/>
                <w:sz w:val="20"/>
                <w:szCs w:val="20"/>
              </w:rPr>
              <w:t xml:space="preserve">clinical-extraction eval --provider fake</w:t>
            </w:r>
          </w:p>
        </w:tc>
        <w:tc>
          <w:tcPr>
            <w:tcW w:type="dxa" w:w="3360"/>
            <w:tcMar>
              <w:top w:type="dxa" w:w="80"/>
              <w:left w:type="dxa" w:w="120"/>
              <w:bottom w:type="dxa" w:w="80"/>
              <w:right w:type="dxa" w:w="120"/>
            </w:tcMar>
          </w:tcPr>
          <w:p>
            <w:pPr>
              <w:spacing w:after="0" w:line="240"/>
            </w:pPr>
            <w:r>
              <w:rPr>
                <w:b w:val="false"/>
                <w:bCs w:val="false"/>
                <w:sz w:val="20"/>
                <w:szCs w:val="20"/>
              </w:rPr>
              <w:t xml:space="preserve">gate passed; 4 injected defects detected</w:t>
            </w:r>
          </w:p>
        </w:tc>
      </w:tr>
      <w:tr>
        <w:tc>
          <w:tcPr>
            <w:tcW w:type="dxa" w:w="2700"/>
            <w:tcMar>
              <w:top w:type="dxa" w:w="80"/>
              <w:left w:type="dxa" w:w="120"/>
              <w:bottom w:type="dxa" w:w="80"/>
              <w:right w:type="dxa" w:w="120"/>
            </w:tcMar>
          </w:tcPr>
          <w:p>
            <w:pPr>
              <w:spacing w:after="0" w:line="240"/>
            </w:pPr>
            <w:r>
              <w:rPr>
                <w:b w:val="false"/>
                <w:bCs w:val="false"/>
                <w:sz w:val="20"/>
                <w:szCs w:val="20"/>
              </w:rPr>
              <w:t xml:space="preserve">Offline decision eval</w:t>
            </w:r>
          </w:p>
        </w:tc>
        <w:tc>
          <w:tcPr>
            <w:tcW w:type="dxa" w:w="3300"/>
            <w:tcMar>
              <w:top w:type="dxa" w:w="80"/>
              <w:left w:type="dxa" w:w="120"/>
              <w:bottom w:type="dxa" w:w="80"/>
              <w:right w:type="dxa" w:w="120"/>
            </w:tcMar>
          </w:tcPr>
          <w:p>
            <w:pPr>
              <w:spacing w:after="0" w:line="240"/>
            </w:pPr>
            <w:r>
              <w:rPr>
                <w:b w:val="false"/>
                <w:bCs w:val="false"/>
                <w:sz w:val="20"/>
                <w:szCs w:val="20"/>
              </w:rPr>
              <w:t xml:space="preserve">clinical-extraction eval-decisions</w:t>
            </w:r>
          </w:p>
        </w:tc>
        <w:tc>
          <w:tcPr>
            <w:tcW w:type="dxa" w:w="3360"/>
            <w:tcMar>
              <w:top w:type="dxa" w:w="80"/>
              <w:left w:type="dxa" w:w="120"/>
              <w:bottom w:type="dxa" w:w="80"/>
              <w:right w:type="dxa" w:w="120"/>
            </w:tcMar>
          </w:tcPr>
          <w:p>
            <w:pPr>
              <w:spacing w:after="0" w:line="240"/>
            </w:pPr>
            <w:r>
              <w:rPr>
                <w:b w:val="false"/>
                <w:bCs w:val="false"/>
                <w:sz w:val="20"/>
                <w:szCs w:val="20"/>
              </w:rPr>
              <w:t xml:space="preserve">gate passed; 2 injected verifier misjudgments detected</w:t>
            </w:r>
          </w:p>
        </w:tc>
      </w:tr>
      <w:tr>
        <w:tc>
          <w:tcPr>
            <w:tcW w:type="dxa" w:w="2700"/>
            <w:tcMar>
              <w:top w:type="dxa" w:w="80"/>
              <w:left w:type="dxa" w:w="120"/>
              <w:bottom w:type="dxa" w:w="80"/>
              <w:right w:type="dxa" w:w="120"/>
            </w:tcMar>
          </w:tcPr>
          <w:p>
            <w:pPr>
              <w:spacing w:after="0" w:line="240"/>
            </w:pPr>
            <w:r>
              <w:rPr>
                <w:b w:val="false"/>
                <w:bCs w:val="false"/>
                <w:sz w:val="20"/>
                <w:szCs w:val="20"/>
              </w:rPr>
              <w:t xml:space="preserve">Live extraction eval</w:t>
            </w:r>
          </w:p>
        </w:tc>
        <w:tc>
          <w:tcPr>
            <w:tcW w:type="dxa" w:w="3300"/>
            <w:tcMar>
              <w:top w:type="dxa" w:w="80"/>
              <w:left w:type="dxa" w:w="120"/>
              <w:bottom w:type="dxa" w:w="80"/>
              <w:right w:type="dxa" w:w="120"/>
            </w:tcMar>
          </w:tcPr>
          <w:p>
            <w:pPr>
              <w:spacing w:after="0" w:line="240"/>
            </w:pPr>
            <w:r>
              <w:rPr>
                <w:b w:val="false"/>
                <w:bCs w:val="false"/>
                <w:sz w:val="20"/>
                <w:szCs w:val="20"/>
              </w:rPr>
              <w:t xml:space="preserve">clinical-extraction eval --provider gemini --delay 7</w:t>
            </w:r>
          </w:p>
        </w:tc>
        <w:tc>
          <w:tcPr>
            <w:tcW w:type="dxa" w:w="3360"/>
            <w:tcMar>
              <w:top w:type="dxa" w:w="80"/>
              <w:left w:type="dxa" w:w="120"/>
              <w:bottom w:type="dxa" w:w="80"/>
              <w:right w:type="dxa" w:w="120"/>
            </w:tcMar>
          </w:tcPr>
          <w:p>
            <w:pPr>
              <w:spacing w:after="0" w:line="240"/>
            </w:pPr>
            <w:r>
              <w:rPr>
                <w:b w:val="false"/>
                <w:bCs w:val="false"/>
                <w:sz w:val="20"/>
                <w:szCs w:val="20"/>
              </w:rPr>
              <w:t xml:space="preserve">extract-v2, 10/10 scored</w:t>
            </w:r>
          </w:p>
        </w:tc>
      </w:tr>
      <w:tr>
        <w:tc>
          <w:tcPr>
            <w:tcW w:type="dxa" w:w="2700"/>
            <w:tcMar>
              <w:top w:type="dxa" w:w="80"/>
              <w:left w:type="dxa" w:w="120"/>
              <w:bottom w:type="dxa" w:w="80"/>
              <w:right w:type="dxa" w:w="120"/>
            </w:tcMar>
          </w:tcPr>
          <w:p>
            <w:pPr>
              <w:spacing w:after="0" w:line="240"/>
            </w:pPr>
            <w:r>
              <w:rPr>
                <w:b w:val="false"/>
                <w:bCs w:val="false"/>
                <w:sz w:val="20"/>
                <w:szCs w:val="20"/>
              </w:rPr>
              <w:t xml:space="preserve">Frontend lint</w:t>
            </w:r>
          </w:p>
        </w:tc>
        <w:tc>
          <w:tcPr>
            <w:tcW w:type="dxa" w:w="3300"/>
            <w:tcMar>
              <w:top w:type="dxa" w:w="80"/>
              <w:left w:type="dxa" w:w="120"/>
              <w:bottom w:type="dxa" w:w="80"/>
              <w:right w:type="dxa" w:w="120"/>
            </w:tcMar>
          </w:tcPr>
          <w:p>
            <w:pPr>
              <w:spacing w:after="0" w:line="240"/>
            </w:pPr>
            <w:r>
              <w:rPr>
                <w:b w:val="false"/>
                <w:bCs w:val="false"/>
                <w:sz w:val="20"/>
                <w:szCs w:val="20"/>
              </w:rPr>
              <w:t xml:space="preserve">eslint . --max-warnings 0</w:t>
            </w:r>
          </w:p>
        </w:tc>
        <w:tc>
          <w:tcPr>
            <w:tcW w:type="dxa" w:w="3360"/>
            <w:tcMar>
              <w:top w:type="dxa" w:w="80"/>
              <w:left w:type="dxa" w:w="120"/>
              <w:bottom w:type="dxa" w:w="80"/>
              <w:right w:type="dxa" w:w="120"/>
            </w:tcMar>
          </w:tcPr>
          <w:p>
            <w:pPr>
              <w:spacing w:after="0" w:line="240"/>
            </w:pPr>
            <w:r>
              <w:rPr>
                <w:b w:val="false"/>
                <w:bCs w:val="false"/>
                <w:sz w:val="20"/>
                <w:szCs w:val="20"/>
              </w:rPr>
              <w:t xml:space="preserve">clean</w:t>
            </w:r>
          </w:p>
        </w:tc>
      </w:tr>
      <w:tr>
        <w:tc>
          <w:tcPr>
            <w:tcW w:type="dxa" w:w="2700"/>
            <w:tcMar>
              <w:top w:type="dxa" w:w="80"/>
              <w:left w:type="dxa" w:w="120"/>
              <w:bottom w:type="dxa" w:w="80"/>
              <w:right w:type="dxa" w:w="120"/>
            </w:tcMar>
          </w:tcPr>
          <w:p>
            <w:pPr>
              <w:spacing w:after="0" w:line="240"/>
            </w:pPr>
            <w:r>
              <w:rPr>
                <w:b w:val="false"/>
                <w:bCs w:val="false"/>
                <w:sz w:val="20"/>
                <w:szCs w:val="20"/>
              </w:rPr>
              <w:t xml:space="preserve">Frontend types</w:t>
            </w:r>
          </w:p>
        </w:tc>
        <w:tc>
          <w:tcPr>
            <w:tcW w:type="dxa" w:w="3300"/>
            <w:tcMar>
              <w:top w:type="dxa" w:w="80"/>
              <w:left w:type="dxa" w:w="120"/>
              <w:bottom w:type="dxa" w:w="80"/>
              <w:right w:type="dxa" w:w="120"/>
            </w:tcMar>
          </w:tcPr>
          <w:p>
            <w:pPr>
              <w:spacing w:after="0" w:line="240"/>
            </w:pPr>
            <w:r>
              <w:rPr>
                <w:b w:val="false"/>
                <w:bCs w:val="false"/>
                <w:sz w:val="20"/>
                <w:szCs w:val="20"/>
              </w:rPr>
              <w:t xml:space="preserve">tsc --noEmit (prod + test configs)</w:t>
            </w:r>
          </w:p>
        </w:tc>
        <w:tc>
          <w:tcPr>
            <w:tcW w:type="dxa" w:w="3360"/>
            <w:tcMar>
              <w:top w:type="dxa" w:w="80"/>
              <w:left w:type="dxa" w:w="120"/>
              <w:bottom w:type="dxa" w:w="80"/>
              <w:right w:type="dxa" w:w="120"/>
            </w:tcMar>
          </w:tcPr>
          <w:p>
            <w:pPr>
              <w:spacing w:after="0" w:line="240"/>
            </w:pPr>
            <w:r>
              <w:rPr>
                <w:b w:val="false"/>
                <w:bCs w:val="false"/>
                <w:sz w:val="20"/>
                <w:szCs w:val="20"/>
              </w:rPr>
              <w:t xml:space="preserve">clean</w:t>
            </w:r>
          </w:p>
        </w:tc>
      </w:tr>
      <w:tr>
        <w:tc>
          <w:tcPr>
            <w:tcW w:type="dxa" w:w="2700"/>
            <w:tcMar>
              <w:top w:type="dxa" w:w="80"/>
              <w:left w:type="dxa" w:w="120"/>
              <w:bottom w:type="dxa" w:w="80"/>
              <w:right w:type="dxa" w:w="120"/>
            </w:tcMar>
          </w:tcPr>
          <w:p>
            <w:pPr>
              <w:spacing w:after="0" w:line="240"/>
            </w:pPr>
            <w:r>
              <w:rPr>
                <w:b w:val="false"/>
                <w:bCs w:val="false"/>
                <w:sz w:val="20"/>
                <w:szCs w:val="20"/>
              </w:rPr>
              <w:t xml:space="preserve">Frontend tests</w:t>
            </w:r>
          </w:p>
        </w:tc>
        <w:tc>
          <w:tcPr>
            <w:tcW w:type="dxa" w:w="3300"/>
            <w:tcMar>
              <w:top w:type="dxa" w:w="80"/>
              <w:left w:type="dxa" w:w="120"/>
              <w:bottom w:type="dxa" w:w="80"/>
              <w:right w:type="dxa" w:w="120"/>
            </w:tcMar>
          </w:tcPr>
          <w:p>
            <w:pPr>
              <w:spacing w:after="0" w:line="240"/>
            </w:pPr>
            <w:r>
              <w:rPr>
                <w:b w:val="false"/>
                <w:bCs w:val="false"/>
                <w:sz w:val="20"/>
                <w:szCs w:val="20"/>
              </w:rPr>
              <w:t xml:space="preserve">vitest run</w:t>
            </w:r>
          </w:p>
        </w:tc>
        <w:tc>
          <w:tcPr>
            <w:tcW w:type="dxa" w:w="3360"/>
            <w:tcMar>
              <w:top w:type="dxa" w:w="80"/>
              <w:left w:type="dxa" w:w="120"/>
              <w:bottom w:type="dxa" w:w="80"/>
              <w:right w:type="dxa" w:w="120"/>
            </w:tcMar>
          </w:tcPr>
          <w:p>
            <w:pPr>
              <w:spacing w:after="0" w:line="240"/>
            </w:pPr>
            <w:r>
              <w:rPr>
                <w:b w:val="false"/>
                <w:bCs w:val="false"/>
                <w:sz w:val="20"/>
                <w:szCs w:val="20"/>
              </w:rPr>
              <w:t xml:space="preserve">34 passed</w:t>
            </w:r>
          </w:p>
        </w:tc>
      </w:tr>
      <w:tr>
        <w:tc>
          <w:tcPr>
            <w:tcW w:type="dxa" w:w="2700"/>
            <w:tcMar>
              <w:top w:type="dxa" w:w="80"/>
              <w:left w:type="dxa" w:w="120"/>
              <w:bottom w:type="dxa" w:w="80"/>
              <w:right w:type="dxa" w:w="120"/>
            </w:tcMar>
          </w:tcPr>
          <w:p>
            <w:pPr>
              <w:spacing w:after="0" w:line="240"/>
            </w:pPr>
            <w:r>
              <w:rPr>
                <w:b w:val="false"/>
                <w:bCs w:val="false"/>
                <w:sz w:val="20"/>
                <w:szCs w:val="20"/>
              </w:rPr>
              <w:t xml:space="preserve">Frontend build</w:t>
            </w:r>
          </w:p>
        </w:tc>
        <w:tc>
          <w:tcPr>
            <w:tcW w:type="dxa" w:w="3300"/>
            <w:tcMar>
              <w:top w:type="dxa" w:w="80"/>
              <w:left w:type="dxa" w:w="120"/>
              <w:bottom w:type="dxa" w:w="80"/>
              <w:right w:type="dxa" w:w="120"/>
            </w:tcMar>
          </w:tcPr>
          <w:p>
            <w:pPr>
              <w:spacing w:after="0" w:line="240"/>
            </w:pPr>
            <w:r>
              <w:rPr>
                <w:b w:val="false"/>
                <w:bCs w:val="false"/>
                <w:sz w:val="20"/>
                <w:szCs w:val="20"/>
              </w:rPr>
              <w:t xml:space="preserve">next build</w:t>
            </w:r>
          </w:p>
        </w:tc>
        <w:tc>
          <w:tcPr>
            <w:tcW w:type="dxa" w:w="3360"/>
            <w:tcMar>
              <w:top w:type="dxa" w:w="80"/>
              <w:left w:type="dxa" w:w="120"/>
              <w:bottom w:type="dxa" w:w="80"/>
              <w:right w:type="dxa" w:w="120"/>
            </w:tcMar>
          </w:tcPr>
          <w:p>
            <w:pPr>
              <w:spacing w:after="0" w:line="240"/>
            </w:pPr>
            <w:r>
              <w:rPr>
                <w:b w:val="false"/>
                <w:bCs w:val="false"/>
                <w:sz w:val="20"/>
                <w:szCs w:val="20"/>
              </w:rPr>
              <w:t xml:space="preserve">success</w:t>
            </w:r>
          </w:p>
        </w:tc>
      </w:tr>
      <w:tr>
        <w:tc>
          <w:tcPr>
            <w:tcW w:type="dxa" w:w="2700"/>
            <w:tcMar>
              <w:top w:type="dxa" w:w="80"/>
              <w:left w:type="dxa" w:w="120"/>
              <w:bottom w:type="dxa" w:w="80"/>
              <w:right w:type="dxa" w:w="120"/>
            </w:tcMar>
          </w:tcPr>
          <w:p>
            <w:pPr>
              <w:spacing w:after="0" w:line="240"/>
            </w:pPr>
            <w:r>
              <w:rPr>
                <w:b w:val="false"/>
                <w:bCs w:val="false"/>
                <w:sz w:val="20"/>
                <w:szCs w:val="20"/>
              </w:rPr>
              <w:t xml:space="preserve">Docker images</w:t>
            </w:r>
          </w:p>
        </w:tc>
        <w:tc>
          <w:tcPr>
            <w:tcW w:type="dxa" w:w="3300"/>
            <w:tcMar>
              <w:top w:type="dxa" w:w="80"/>
              <w:left w:type="dxa" w:w="120"/>
              <w:bottom w:type="dxa" w:w="80"/>
              <w:right w:type="dxa" w:w="120"/>
            </w:tcMar>
          </w:tcPr>
          <w:p>
            <w:pPr>
              <w:spacing w:after="0" w:line="240"/>
            </w:pPr>
            <w:r>
              <w:rPr>
                <w:b w:val="false"/>
                <w:bCs w:val="false"/>
                <w:sz w:val="20"/>
                <w:szCs w:val="20"/>
              </w:rPr>
              <w:t xml:space="preserve">docker compose up --build --wait</w:t>
            </w:r>
          </w:p>
        </w:tc>
        <w:tc>
          <w:tcPr>
            <w:tcW w:type="dxa" w:w="3360"/>
            <w:tcMar>
              <w:top w:type="dxa" w:w="80"/>
              <w:left w:type="dxa" w:w="120"/>
              <w:bottom w:type="dxa" w:w="80"/>
              <w:right w:type="dxa" w:w="120"/>
            </w:tcMar>
          </w:tcPr>
          <w:p>
            <w:pPr>
              <w:spacing w:after="0" w:line="240"/>
            </w:pPr>
            <w:r>
              <w:rPr>
                <w:b w:val="false"/>
                <w:bCs w:val="false"/>
                <w:sz w:val="20"/>
                <w:szCs w:val="20"/>
              </w:rPr>
              <w:t xml:space="preserve">all services healthy</w:t>
            </w:r>
          </w:p>
        </w:tc>
      </w:tr>
      <w:tr>
        <w:tc>
          <w:tcPr>
            <w:tcW w:type="dxa" w:w="2700"/>
            <w:tcMar>
              <w:top w:type="dxa" w:w="80"/>
              <w:left w:type="dxa" w:w="120"/>
              <w:bottom w:type="dxa" w:w="80"/>
              <w:right w:type="dxa" w:w="120"/>
            </w:tcMar>
          </w:tcPr>
          <w:p>
            <w:pPr>
              <w:spacing w:after="0" w:line="240"/>
            </w:pPr>
            <w:r>
              <w:rPr>
                <w:b w:val="false"/>
                <w:bCs w:val="false"/>
                <w:sz w:val="20"/>
                <w:szCs w:val="20"/>
              </w:rPr>
              <w:t xml:space="preserve">Extraction container</w:t>
            </w:r>
          </w:p>
        </w:tc>
        <w:tc>
          <w:tcPr>
            <w:tcW w:type="dxa" w:w="3300"/>
            <w:tcMar>
              <w:top w:type="dxa" w:w="80"/>
              <w:left w:type="dxa" w:w="120"/>
              <w:bottom w:type="dxa" w:w="80"/>
              <w:right w:type="dxa" w:w="120"/>
            </w:tcMar>
          </w:tcPr>
          <w:p>
            <w:pPr>
              <w:spacing w:after="0" w:line="240"/>
            </w:pPr>
            <w:r>
              <w:rPr>
                <w:b w:val="false"/>
                <w:bCs w:val="false"/>
                <w:sz w:val="20"/>
                <w:szCs w:val="20"/>
              </w:rPr>
              <w:t xml:space="preserve">docker run eximion-llm eval --provider fake</w:t>
            </w:r>
          </w:p>
        </w:tc>
        <w:tc>
          <w:tcPr>
            <w:tcW w:type="dxa" w:w="3360"/>
            <w:tcMar>
              <w:top w:type="dxa" w:w="80"/>
              <w:left w:type="dxa" w:w="120"/>
              <w:bottom w:type="dxa" w:w="80"/>
              <w:right w:type="dxa" w:w="120"/>
            </w:tcMar>
          </w:tcPr>
          <w:p>
            <w:pPr>
              <w:spacing w:after="0" w:line="240"/>
            </w:pPr>
            <w:r>
              <w:rPr>
                <w:b w:val="false"/>
                <w:bCs w:val="false"/>
                <w:sz w:val="20"/>
                <w:szCs w:val="20"/>
              </w:rPr>
              <w:t xml:space="preserve">uid 1001, eval passes in-container</w:t>
            </w:r>
          </w:p>
        </w:tc>
      </w:tr>
      <w:tr>
        <w:tc>
          <w:tcPr>
            <w:tcW w:type="dxa" w:w="2700"/>
            <w:tcMar>
              <w:top w:type="dxa" w:w="80"/>
              <w:left w:type="dxa" w:w="120"/>
              <w:bottom w:type="dxa" w:w="80"/>
              <w:right w:type="dxa" w:w="120"/>
            </w:tcMar>
          </w:tcPr>
          <w:p>
            <w:pPr>
              <w:spacing w:after="0" w:line="240"/>
            </w:pPr>
            <w:r>
              <w:rPr>
                <w:b w:val="false"/>
                <w:bCs w:val="false"/>
                <w:sz w:val="20"/>
                <w:szCs w:val="20"/>
              </w:rPr>
              <w:t xml:space="preserve">End-to-end smoke</w:t>
            </w:r>
          </w:p>
        </w:tc>
        <w:tc>
          <w:tcPr>
            <w:tcW w:type="dxa" w:w="3300"/>
            <w:tcMar>
              <w:top w:type="dxa" w:w="80"/>
              <w:left w:type="dxa" w:w="120"/>
              <w:bottom w:type="dxa" w:w="80"/>
              <w:right w:type="dxa" w:w="120"/>
            </w:tcMar>
          </w:tcPr>
          <w:p>
            <w:pPr>
              <w:spacing w:after="0" w:line="240"/>
            </w:pPr>
            <w:r>
              <w:rPr>
                <w:b w:val="false"/>
                <w:bCs w:val="false"/>
                <w:sz w:val="20"/>
                <w:szCs w:val="20"/>
              </w:rPr>
              <w:t xml:space="preserve">bash scripts/smoke.sh</w:t>
            </w:r>
          </w:p>
        </w:tc>
        <w:tc>
          <w:tcPr>
            <w:tcW w:type="dxa" w:w="3360"/>
            <w:tcMar>
              <w:top w:type="dxa" w:w="80"/>
              <w:left w:type="dxa" w:w="120"/>
              <w:bottom w:type="dxa" w:w="80"/>
              <w:right w:type="dxa" w:w="120"/>
            </w:tcMar>
          </w:tcPr>
          <w:p>
            <w:pPr>
              <w:spacing w:after="0" w:line="240"/>
            </w:pPr>
            <w:r>
              <w:rPr>
                <w:b w:val="false"/>
                <w:bCs w:val="false"/>
                <w:sz w:val="20"/>
                <w:szCs w:val="20"/>
              </w:rPr>
              <w:t xml:space="preserve">SMOKE PASS</w:t>
            </w:r>
          </w:p>
        </w:tc>
      </w:tr>
    </w:tbl>
    <w:p>
      <w:pPr>
        <w:spacing w:after="120"/>
      </w:pPr>
    </w:p>
    <w:p>
      <w:pPr>
        <w:spacing w:after="120" w:line="276"/>
      </w:pPr>
      <w:r>
        <w:rPr>
          <w:b/>
          <w:bCs/>
        </w:rPr>
        <w:t xml:space="preserve">Not executed, and why:</w:t>
      </w:r>
    </w:p>
    <w:p>
      <w:pPr>
        <w:pStyle w:val="ListParagraph"/>
        <w:numPr>
          <w:ilvl w:val="0"/>
          <w:numId w:val="2"/>
        </w:numPr>
        <w:spacing w:after="80" w:line="276"/>
      </w:pPr>
      <w:r>
        <w:rPr>
          <w:b/>
          <w:bCs/>
        </w:rPr>
        <w:t xml:space="preserve">Live GCP deployment. </w:t>
      </w:r>
      <w:r>
        <w:t xml:space="preserve">No project with Vertex AI and Cloud SQL billing was provisioned for this assignment, so nothing was deployed to Cloud Run. The runbook is complete and reproducible, but I have not run it end to end, and I am not claiming a live URL.</w:t>
      </w:r>
    </w:p>
    <w:p>
      <w:pPr>
        <w:pStyle w:val="ListParagraph"/>
        <w:numPr>
          <w:ilvl w:val="0"/>
          <w:numId w:val="2"/>
        </w:numPr>
        <w:spacing w:after="80" w:line="276"/>
      </w:pPr>
      <w:r>
        <w:rPr>
          <w:b/>
          <w:bCs/>
        </w:rPr>
        <w:t xml:space="preserve">Jev (TypeSafe) live. </w:t>
      </w:r>
      <w:r>
        <w:t xml:space="preserve">The decision layer added after the interview is tested against the real TypeSafe SDK with a mocked HTTP layer, and its eval runs offline. No TypeSafe key was available, so there is no live Jev measurement yet. See docs/DECISION_MODEL_MIGRATION.md.</w:t>
      </w:r>
    </w:p>
    <w:p>
      <w:pPr>
        <w:spacing w:after="120" w:line="276"/>
      </w:pPr>
      <w:r>
        <w:rPr>
          <w:b/>
          <w:bCs/>
        </w:rPr>
        <w:t xml:space="preserve">Since executed: </w:t>
      </w:r>
      <w:r>
        <w:t xml:space="preserve">a complete live run of the current prompt, extract-v2, all ten cases, committed as evals/results/gemini-2.5-flash-extract-v2.json: schema 10/10, age and sex 1.0, answer key 0.9, findings F1 0.51 by token overlap, category accuracy 0.97, latency p50 4.0 s. The earlier extract-v1 file is kept as it was: a partial free-tier run of two cases.</w:t>
      </w:r>
    </w:p>
    <w:p>
      <w:pPr>
        <w:spacing w:after="120" w:line="276"/>
      </w:pPr>
      <w:r>
        <w:t xml:space="preserve">The first live run was worth doing: it found two faults the offline harness could not.</w:t>
      </w:r>
    </w:p>
    <w:p>
      <w:pPr>
        <w:spacing w:after="120" w:line="276"/>
      </w:pPr>
      <w:r>
        <w:t xml:space="preserve">Gemini could not accept the schema at all. Constrained decoding rejected it with “the specified schema produces a constraint that has too many states for serving” — the length limits, numeric ranges and array bounds on the Pydantic contract. The model is now sent a simplified schema carrying the shape, enums and required fields, while Pydantic still enforces every bound on the response. Nothing is lost: the model guides generation, the validator decides what is acceptable.</w:t>
      </w:r>
    </w:p>
    <w:p>
      <w:pPr>
        <w:spacing w:after="120" w:line="276"/>
      </w:pPr>
      <w:r>
        <w:t xml:space="preserve">My own metric was wrong twice. A 429 counted against schema_valid_rate, which charged a quota failure to model accuracy — provider errors are now reported separately. And findings were compared by exact text, so a paraphrase (“Temperature 38.1 C” for “Temperature 38.1 °C”) scored as a miss. Findings now match on token overlap, with the exact-text figure still reported as a strict lower bound. On the completed cases that is the difference between F1 0.32 and 0.62 — the same extraction, measured honestly.</w:t>
      </w:r>
    </w:p>
    <w:p>
      <w:pPr>
        <w:pStyle w:val="Heading1"/>
        <w:spacing w:after="160" w:before="320"/>
      </w:pPr>
      <w:r>
        <w:t xml:space="preserve">8. Trade-offs</w:t>
      </w:r>
    </w:p>
    <w:p>
      <w:pPr>
        <w:pStyle w:val="ListParagraph"/>
        <w:numPr>
          <w:ilvl w:val="0"/>
          <w:numId w:val="3"/>
        </w:numPr>
        <w:spacing w:after="80" w:line="276"/>
      </w:pPr>
      <w:r>
        <w:rPr>
          <w:b/>
          <w:bCs/>
        </w:rPr>
        <w:t xml:space="preserve">Sync SQLAlchemy, not async. </w:t>
      </w:r>
      <w:r>
        <w:t xml:space="preserve">A handful of short queries per request; async adds a second driver and colours every call site without changing throughput at this scale. Cloud Run scales out by instance, and the pool is sized for that.</w:t>
      </w:r>
    </w:p>
    <w:p>
      <w:pPr>
        <w:pStyle w:val="ListParagraph"/>
        <w:numPr>
          <w:ilvl w:val="0"/>
          <w:numId w:val="3"/>
        </w:numPr>
        <w:spacing w:after="80" w:line="276"/>
      </w:pPr>
      <w:r>
        <w:rPr>
          <w:b/>
          <w:bCs/>
        </w:rPr>
        <w:t xml:space="preserve">One repository, not three. </w:t>
      </w:r>
      <w:r>
        <w:t xml:space="preserve">The three tasks share one contract. A monorepo turns the OpenAPI → TypeScript generation and the contract-alignment test into real CI gates instead of documentation.</w:t>
      </w:r>
    </w:p>
    <w:p>
      <w:pPr>
        <w:pStyle w:val="ListParagraph"/>
        <w:numPr>
          <w:ilvl w:val="0"/>
          <w:numId w:val="3"/>
        </w:numPr>
        <w:spacing w:after="80" w:line="276"/>
      </w:pPr>
      <w:r>
        <w:rPr>
          <w:b/>
          <w:bCs/>
        </w:rPr>
        <w:t xml:space="preserve">Exact-match scoring, not semantic. </w:t>
      </w:r>
      <w:r>
        <w:t xml:space="preserve">Explainable and reproducible: a physician can be told precisely why an answer scored what it did, and the same submission always scores the same. Synonyms are a product decision expressed as extra answer rows, not a model guess. Semantic matching would need its own eval, a confidence threshold and an appeal path before it could be trusted to score a competition.</w:t>
      </w:r>
    </w:p>
    <w:p>
      <w:pPr>
        <w:pStyle w:val="ListParagraph"/>
        <w:numPr>
          <w:ilvl w:val="0"/>
          <w:numId w:val="3"/>
        </w:numPr>
        <w:spacing w:after="80" w:line="276"/>
      </w:pPr>
      <w:r>
        <w:rPr>
          <w:b/>
          <w:bCs/>
        </w:rPr>
        <w:t xml:space="preserve">Fake provider in CI, real Gemini opt-in. </w:t>
      </w:r>
      <w:r>
        <w:t xml:space="preserve">CI stays free, offline and deterministic while still exercising the entire pipeline including its failure paths; the real run is one flag away.</w:t>
      </w:r>
    </w:p>
    <w:p>
      <w:pPr>
        <w:pStyle w:val="ListParagraph"/>
        <w:numPr>
          <w:ilvl w:val="0"/>
          <w:numId w:val="3"/>
        </w:numPr>
        <w:spacing w:after="80" w:line="276"/>
      </w:pPr>
      <w:r>
        <w:rPr>
          <w:b/>
          <w:bCs/>
        </w:rPr>
        <w:t xml:space="preserve">Admin API key, not full authentication. </w:t>
      </w:r>
      <w:r>
        <w:t xml:space="preserve">It closes the authoring hole inside the scope of this assignment without pretending to be an identity system. Participant auth is the first item in production next steps.</w:t>
      </w:r>
    </w:p>
    <w:p>
      <w:pPr>
        <w:pStyle w:val="Heading1"/>
        <w:spacing w:after="160" w:before="320"/>
      </w:pPr>
      <w:r>
        <w:t xml:space="preserve">9. Production next steps</w:t>
      </w:r>
    </w:p>
    <w:p>
      <w:pPr>
        <w:spacing w:after="120" w:line="276"/>
      </w:pPr>
      <w:r>
        <w:t xml:space="preserve">Participant authentication and authorization (who may solve what, how many scored attempts per case); rate limiting on /score; an append-only audit trail with actor identity; idempotency keys for authoring; a PHI, retention and BAA review before any real patient data touches the system; alerting and uptime checks on top of the structured logs; a human review queue for LLM-extracted cases before they go live; and a larger eval set with inter-rater agreement on the ground truth.</w:t>
      </w:r>
    </w:p>
    <w:p>
      <w:pPr>
        <w:pStyle w:val="Heading1"/>
        <w:spacing w:after="160" w:before="320"/>
      </w:pPr>
      <w:r>
        <w:t xml:space="preserve">10. Repository</w:t>
      </w:r>
    </w:p>
    <w:p>
      <w:pPr>
        <w:spacing w:after="120" w:line="276"/>
      </w:pPr>
      <w:hyperlink w:history="1" r:id="rIdasofme_ohjkduef-9wx9g">
        <w:r>
          <w:rPr>
            <w:color w:val="0B5CAD"/>
          </w:rPr>
          <w:t xml:space="preserve">https://github.com/Sskutushev/eximion-clinical-case-platform</w:t>
        </w:r>
      </w:hyperlink>
    </w:p>
    <w:p>
      <w:pPr>
        <w:shd w:fill="F4F6F8" w:val="clear"/>
        <w:spacing w:after="0" w:line="240"/>
        <w:ind w:left="180"/>
      </w:pPr>
      <w:r>
        <w:rPr>
          <w:rFonts w:ascii="Consolas" w:cs="Consolas" w:eastAsia="Consolas" w:hAnsi="Consolas"/>
          <w:sz w:val="19"/>
          <w:szCs w:val="19"/>
        </w:rPr>
        <w:t xml:space="preserve">backend/        FastAPI, SQLAlchemy 2, Alembic, pytest</w:t>
      </w:r>
    </w:p>
    <w:p>
      <w:pPr>
        <w:shd w:fill="F4F6F8" w:val="clear"/>
        <w:spacing w:after="0" w:line="240"/>
        <w:ind w:left="180"/>
      </w:pPr>
      <w:r>
        <w:rPr>
          <w:rFonts w:ascii="Consolas" w:cs="Consolas" w:eastAsia="Consolas" w:hAnsi="Consolas"/>
          <w:sz w:val="19"/>
          <w:szCs w:val="19"/>
        </w:rPr>
        <w:t xml:space="preserve">frontend/       Next.js App Router, TypeScript strict, vitest</w:t>
      </w:r>
    </w:p>
    <w:p>
      <w:pPr>
        <w:shd w:fill="F4F6F8" w:val="clear"/>
        <w:spacing w:after="0" w:line="240"/>
        <w:ind w:left="180"/>
      </w:pPr>
      <w:r>
        <w:rPr>
          <w:rFonts w:ascii="Consolas" w:cs="Consolas" w:eastAsia="Consolas" w:hAnsi="Consolas"/>
          <w:sz w:val="19"/>
          <w:szCs w:val="19"/>
        </w:rPr>
        <w:t xml:space="preserve">llm_pipeline/   Gemini structured extraction + eval harness</w:t>
      </w:r>
    </w:p>
    <w:p>
      <w:pPr>
        <w:shd w:fill="F4F6F8" w:val="clear"/>
        <w:spacing w:after="0" w:line="240"/>
        <w:ind w:left="180"/>
      </w:pPr>
      <w:r>
        <w:rPr>
          <w:rFonts w:ascii="Consolas" w:cs="Consolas" w:eastAsia="Consolas" w:hAnsi="Consolas"/>
          <w:sz w:val="19"/>
          <w:szCs w:val="19"/>
        </w:rPr>
        <w:t xml:space="preserve">contracts/      openapi.json — the shared contract (committed, drift-checked)</w:t>
      </w:r>
    </w:p>
    <w:p>
      <w:pPr>
        <w:shd w:fill="F4F6F8" w:val="clear"/>
        <w:spacing w:after="0" w:line="240"/>
        <w:ind w:left="180"/>
      </w:pPr>
      <w:r>
        <w:rPr>
          <w:rFonts w:ascii="Consolas" w:cs="Consolas" w:eastAsia="Consolas" w:hAnsi="Consolas"/>
          <w:sz w:val="19"/>
          <w:szCs w:val="19"/>
        </w:rPr>
        <w:t xml:space="preserve">infra/          DEPLOYMENT.md — Cloud Run + Cloud SQL runbook</w:t>
      </w:r>
    </w:p>
    <w:p>
      <w:pPr>
        <w:shd w:fill="F4F6F8" w:val="clear"/>
        <w:spacing w:after="0" w:line="240"/>
        <w:ind w:left="180"/>
      </w:pPr>
      <w:r>
        <w:rPr>
          <w:rFonts w:ascii="Consolas" w:cs="Consolas" w:eastAsia="Consolas" w:hAnsi="Consolas"/>
          <w:sz w:val="19"/>
          <w:szCs w:val="19"/>
        </w:rPr>
        <w:t xml:space="preserve">scripts/        smoke.sh — end-to-end check of the running stack</w:t>
      </w:r>
    </w:p>
    <w:p>
      <w:pPr>
        <w:shd w:fill="F4F6F8" w:val="clear"/>
        <w:spacing w:after="160" w:line="240"/>
        <w:ind w:left="180"/>
      </w:pPr>
      <w:r>
        <w:rPr>
          <w:rFonts w:ascii="Consolas" w:cs="Consolas" w:eastAsia="Consolas" w:hAnsi="Consolas"/>
          <w:sz w:val="19"/>
          <w:szCs w:val="19"/>
        </w:rPr>
        <w:t xml:space="preserve">docs/           IMPLEMENTATION_PLAN.md, REPORT.md</w:t>
      </w:r>
    </w:p>
    <w:p>
      <w:pPr>
        <w:spacing w:after="120" w:line="276"/>
      </w:pPr>
      <w:r>
        <w:t xml:space="preserve">Reviewer path — clone, then:</w:t>
      </w:r>
    </w:p>
    <w:p>
      <w:pPr>
        <w:shd w:fill="F4F6F8" w:val="clear"/>
        <w:spacing w:after="0" w:line="240"/>
        <w:ind w:left="180"/>
      </w:pPr>
      <w:r>
        <w:rPr>
          <w:rFonts w:ascii="Consolas" w:cs="Consolas" w:eastAsia="Consolas" w:hAnsi="Consolas"/>
          <w:sz w:val="19"/>
          <w:szCs w:val="19"/>
        </w:rPr>
        <w:t xml:space="preserve">cp .env.example .env</w:t>
      </w:r>
    </w:p>
    <w:p>
      <w:pPr>
        <w:shd w:fill="F4F6F8" w:val="clear"/>
        <w:spacing w:after="0" w:line="240"/>
        <w:ind w:left="180"/>
      </w:pPr>
      <w:r>
        <w:rPr>
          <w:rFonts w:ascii="Consolas" w:cs="Consolas" w:eastAsia="Consolas" w:hAnsi="Consolas"/>
          <w:sz w:val="19"/>
          <w:szCs w:val="19"/>
        </w:rPr>
        <w:t xml:space="preserve">docker compose up -d --build --wait</w:t>
      </w:r>
    </w:p>
    <w:p>
      <w:pPr>
        <w:shd w:fill="F4F6F8" w:val="clear"/>
        <w:spacing w:after="0" w:line="240"/>
        <w:ind w:left="180"/>
      </w:pPr>
      <w:r>
        <w:rPr>
          <w:rFonts w:ascii="Consolas" w:cs="Consolas" w:eastAsia="Consolas" w:hAnsi="Consolas"/>
          <w:sz w:val="19"/>
          <w:szCs w:val="19"/>
        </w:rPr>
        <w:t xml:space="preserve">bash scripts/smoke.sh</w:t>
      </w:r>
    </w:p>
    <w:p>
      <w:pPr>
        <w:shd w:fill="F4F6F8" w:val="clear"/>
        <w:spacing w:after="160" w:line="240"/>
        <w:ind w:left="180"/>
      </w:pPr>
      <w:r>
        <w:rPr>
          <w:rFonts w:ascii="Consolas" w:cs="Consolas" w:eastAsia="Consolas" w:hAnsi="Consolas"/>
          <w:sz w:val="19"/>
          <w:szCs w:val="19"/>
        </w:rPr>
        <w:t xml:space="preserve">cd llm_pipeline &amp;&amp; uv sync &amp;&amp; uv run clinical-extraction eval --provider fake</w:t>
      </w:r>
    </w:p>
    <w:p>
      <w:pPr>
        <w:spacing w:after="120" w:line="276"/>
      </w:pPr>
      <w:r>
        <w:t xml:space="preserve">README.md covers the architecture diagrams, the data model, the API with runnable examples, type generation, every check and the security rationale.</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31" w:hanging="259"/>
      </w:pPr>
    </w:lvl>
  </w:abstractNum>
  <w:abstractNum w:abstractNumId="3" w15:restartNumberingAfterBreak="0">
    <w:multiLevelType w:val="hybridMultilevel"/>
    <w:lvl w:ilvl="0" w:tentative="1">
      <w:start w:val="1"/>
      <w:numFmt w:val="decimal"/>
      <w:lvlText w:val="%1."/>
      <w:lvlJc w:val="left"/>
      <w:pPr>
        <w:ind w:left="431" w:hanging="288"/>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F26"/>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pPr>
      <w:spacing w:after="160" w:before="320"/>
    </w:pPr>
    <w:rPr>
      <w:rFonts w:ascii="Calibri" w:cs="Calibri" w:eastAsia="Calibri" w:hAnsi="Calibri"/>
      <w:b/>
      <w:bCs/>
      <w:color w:val="0B5CAD"/>
      <w:sz w:val="30"/>
      <w:szCs w:val="30"/>
    </w:rPr>
  </w:style>
  <w:style w:type="paragraph" w:styleId="Heading2">
    <w:name w:val="Heading 2"/>
    <w:basedOn w:val="Normal"/>
    <w:next w:val="Normal"/>
    <w:qFormat/>
    <w:pPr>
      <w:spacing w:after="120" w:before="240"/>
    </w:pPr>
    <w:rPr>
      <w:rFonts w:ascii="Calibri" w:cs="Calibri" w:eastAsia="Calibri" w:hAnsi="Calibri"/>
      <w:b/>
      <w:bCs/>
      <w:color w:val="1A1F26"/>
      <w:sz w:val="25"/>
      <w:szCs w:val="25"/>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iir-3oht-0vmvsxmrbbl1" Type="http://schemas.openxmlformats.org/officeDocument/2006/relationships/hyperlink" Target="https://github.com/Sskutushev/eximion-clinical-case-platform" TargetMode="External"/><Relationship Id="rIdasofme_ohjkduef-9wx9g" Type="http://schemas.openxmlformats.org/officeDocument/2006/relationships/hyperlink" Target="https://github.com/Sskutushev/eximion-clinical-case-platform"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Eximion Test Assignment — Clinical Case Platform</dc:title>
  <dc:creator>Sergei Kutushev</dc:creator>
  <dc:description>Technical report: FastAPI + PostgreSQL, Next.js, LLM extraction, GCP deployment</dc:description>
  <cp:lastModifiedBy>Un-named</cp:lastModifiedBy>
  <cp:revision>1</cp:revision>
  <dcterms:created xsi:type="dcterms:W3CDTF">2026-10-06T15:55:45.745Z</dcterms:created>
  <dcterms:modified xsi:type="dcterms:W3CDTF">2026-10-06T15:55:45.754Z</dcterms:modified>
</cp:coreProperties>
</file>

<file path=docProps/custom.xml><?xml version="1.0" encoding="utf-8"?>
<Properties xmlns="http://schemas.openxmlformats.org/officeDocument/2006/custom-properties" xmlns:vt="http://schemas.openxmlformats.org/officeDocument/2006/docPropsVTypes"/>
</file>