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Facultad de Ciencias y Tecnología</w:t>
      </w:r>
    </w:p>
    <w:p>
      <w:pPr>
        <w:spacing w:after="40"/>
        <w:jc w:val="center"/>
      </w:pPr>
      <w:r>
        <w:rPr>
          <w:b/>
          <w:sz w:val="28"/>
        </w:rPr>
        <w:t>Carrera de Análisis de Sistemas Informáticos</w:t>
      </w:r>
    </w:p>
    <w:p>
      <w:pPr>
        <w:spacing w:after="40"/>
        <w:jc w:val="center"/>
      </w:pPr>
      <w:r>
        <w:rPr>
          <w:b/>
          <w:sz w:val="28"/>
        </w:rPr>
        <w:t>Ingeniería del Software 2</w:t>
      </w:r>
    </w:p>
    <w:p>
      <w:pPr>
        <w:spacing w:after="1200"/>
        <w:jc w:val="center"/>
      </w:pPr>
      <w:r>
        <w:rPr>
          <w:b/>
          <w:sz w:val="28"/>
        </w:rPr>
        <w:t>Trabajo Práctico Final</w:t>
      </w:r>
    </w:p>
    <w:p>
      <w:pPr>
        <w:spacing w:after="80"/>
        <w:jc w:val="center"/>
      </w:pPr>
      <w:r>
        <w:rPr>
          <w:b/>
          <w:sz w:val="24"/>
        </w:rPr>
        <w:t>Autor/es</w:t>
      </w:r>
    </w:p>
    <w:p>
      <w:pPr>
        <w:spacing w:after="40"/>
        <w:jc w:val="center"/>
      </w:pPr>
      <w:r>
        <w:rPr>
          <w:b w:val="0"/>
          <w:sz w:val="24"/>
        </w:rPr>
        <w:t>Rojas, Sebastián</w:t>
      </w:r>
    </w:p>
    <w:p>
      <w:pPr>
        <w:spacing w:after="40"/>
        <w:jc w:val="center"/>
      </w:pPr>
      <w:r>
        <w:rPr>
          <w:b w:val="0"/>
          <w:sz w:val="24"/>
        </w:rPr>
        <w:t>Taveira, Baltazar</w:t>
      </w:r>
    </w:p>
    <w:p>
      <w:pPr>
        <w:spacing w:after="40"/>
        <w:jc w:val="center"/>
      </w:pPr>
      <w:r>
        <w:rPr>
          <w:b w:val="0"/>
          <w:sz w:val="24"/>
        </w:rPr>
        <w:t>Scotover, Leandro</w:t>
      </w:r>
    </w:p>
    <w:p>
      <w:pPr>
        <w:spacing w:after="960"/>
      </w:pPr>
    </w:p>
    <w:p>
      <w:pPr>
        <w:spacing w:after="80"/>
        <w:jc w:val="center"/>
      </w:pPr>
      <w:r>
        <w:rPr>
          <w:b/>
          <w:sz w:val="24"/>
        </w:rPr>
        <w:t>Profesor</w:t>
      </w:r>
    </w:p>
    <w:p>
      <w:pPr>
        <w:spacing w:after="1200"/>
        <w:jc w:val="center"/>
      </w:pPr>
      <w:r>
        <w:rPr>
          <w:b w:val="0"/>
          <w:sz w:val="24"/>
        </w:rPr>
        <w:t>Dr. Emilio Gutiérrez Rodríguez</w:t>
      </w:r>
    </w:p>
    <w:p>
      <w:pPr>
        <w:spacing w:after="40"/>
        <w:jc w:val="center"/>
      </w:pPr>
      <w:r>
        <w:rPr>
          <w:b w:val="0"/>
          <w:sz w:val="24"/>
        </w:rPr>
        <w:t>Asunción - Paraguay</w:t>
      </w:r>
    </w:p>
    <w:p>
      <w:pPr>
        <w:spacing w:after="120"/>
        <w:jc w:val="center"/>
      </w:pPr>
      <w:r>
        <w:rPr>
          <w:b w:val="0"/>
          <w:sz w:val="24"/>
        </w:rPr>
        <w:t>junio 2026</w:t>
      </w:r>
    </w:p>
    <w:p>
      <w:r>
        <w:br w:type="page"/>
      </w:r>
    </w:p>
    <w:p>
      <w:pPr>
        <w:spacing w:after="240"/>
        <w:jc w:val="center"/>
      </w:pPr>
      <w:r>
        <w:rPr>
          <w:b/>
          <w:sz w:val="28"/>
        </w:rPr>
        <w:t>Contenido</w:t>
      </w:r>
    </w:p>
    <w:p>
      <w:pPr>
        <w:spacing w:after="40"/>
        <w:ind w:left="0"/>
      </w:pPr>
      <w:r>
        <w:rPr>
          <w:b/>
          <w:sz w:val="22"/>
        </w:rPr>
        <w:t>Modelo de Análisis</w:t>
      </w:r>
    </w:p>
    <w:p>
      <w:pPr>
        <w:spacing w:after="40"/>
        <w:ind w:left="454"/>
      </w:pPr>
      <w:r>
        <w:rPr>
          <w:b w:val="0"/>
          <w:sz w:val="22"/>
        </w:rPr>
        <w:t>Identificación de Actores</w:t>
      </w:r>
    </w:p>
    <w:p>
      <w:pPr>
        <w:spacing w:after="40"/>
        <w:ind w:left="454"/>
      </w:pPr>
      <w:r>
        <w:rPr>
          <w:b w:val="0"/>
          <w:sz w:val="22"/>
        </w:rPr>
        <w:t>Requerimientos</w:t>
      </w:r>
    </w:p>
    <w:p>
      <w:pPr>
        <w:spacing w:after="40"/>
        <w:ind w:left="907"/>
      </w:pPr>
      <w:r>
        <w:rPr>
          <w:b w:val="0"/>
          <w:sz w:val="22"/>
        </w:rPr>
        <w:t>Requerimientos Funcionales</w:t>
      </w:r>
    </w:p>
    <w:p>
      <w:pPr>
        <w:spacing w:after="40"/>
        <w:ind w:left="907"/>
      </w:pPr>
      <w:r>
        <w:rPr>
          <w:b w:val="0"/>
          <w:sz w:val="22"/>
        </w:rPr>
        <w:t>Requerimientos No Funcionales</w:t>
      </w:r>
    </w:p>
    <w:p>
      <w:pPr>
        <w:spacing w:after="40"/>
        <w:ind w:left="454"/>
      </w:pPr>
      <w:r>
        <w:rPr>
          <w:b w:val="0"/>
          <w:sz w:val="22"/>
        </w:rPr>
        <w:t>Diagrama de Casos de Uso (Alto Nivel)</w:t>
      </w:r>
    </w:p>
    <w:p>
      <w:pPr>
        <w:spacing w:after="40"/>
        <w:ind w:left="454"/>
      </w:pPr>
      <w:r>
        <w:rPr>
          <w:b w:val="0"/>
          <w:sz w:val="22"/>
        </w:rPr>
        <w:t>Diagrama de Generalización de Actores</w:t>
      </w:r>
    </w:p>
    <w:p>
      <w:pPr>
        <w:spacing w:after="40"/>
        <w:ind w:left="454"/>
      </w:pPr>
      <w:r>
        <w:rPr>
          <w:b w:val="0"/>
          <w:sz w:val="22"/>
        </w:rPr>
        <w:t>Diagramas de Casos de Uso</w:t>
      </w:r>
    </w:p>
    <w:p>
      <w:pPr>
        <w:spacing w:after="40"/>
        <w:ind w:left="907"/>
      </w:pPr>
      <w:r>
        <w:rPr>
          <w:b w:val="0"/>
          <w:sz w:val="22"/>
        </w:rPr>
        <w:t>Sistema Obra Studio — Subsistema Presupuesto y Medición</w:t>
      </w:r>
    </w:p>
    <w:p>
      <w:pPr>
        <w:spacing w:after="40"/>
        <w:ind w:left="907"/>
      </w:pPr>
      <w:r>
        <w:rPr>
          <w:b w:val="0"/>
          <w:sz w:val="22"/>
        </w:rPr>
        <w:t>Sistema Obra Studio — Subsistema Certificación y Subcontratos</w:t>
      </w:r>
    </w:p>
    <w:p>
      <w:pPr>
        <w:spacing w:after="40"/>
        <w:ind w:left="454"/>
      </w:pPr>
      <w:r>
        <w:rPr>
          <w:b w:val="0"/>
          <w:sz w:val="22"/>
        </w:rPr>
        <w:t>Caso de Uso CU-01 Crear obra y asignar responsables</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CU-02 Importar presupuesto y cronograma</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CU-03 Confirmar estructura y activar versión vigente</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CU-04 Registrar medición oficial</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CU-05 Aprobar o rechazar medición oficial</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CU-06 Cerrar período de medición</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CU-07 Generar borrador de certificado</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CU-08 Corregir certificado emitido</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CU-09 Emitir certificado de avance</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CU-10 Derivar documento financiero en ERP</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CU-11 Proponer y aprobar movimiento presupuestario</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CU-12 Registrar contrato de subcontrato</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CU-13 Consultar estado del subcontrato</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CU-14 Certificar y valorizar subcontrato</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CU-15 Calcular costos por vía</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Caso de Uso CU-16 Consultar reportes y Curva S</w:t>
      </w:r>
    </w:p>
    <w:p>
      <w:pPr>
        <w:spacing w:after="40"/>
        <w:ind w:left="907"/>
      </w:pPr>
      <w:r>
        <w:rPr>
          <w:b w:val="0"/>
          <w:sz w:val="22"/>
        </w:rPr>
        <w:t>Descripción</w:t>
      </w:r>
    </w:p>
    <w:p>
      <w:pPr>
        <w:spacing w:after="40"/>
        <w:ind w:left="907"/>
      </w:pPr>
      <w:r>
        <w:rPr>
          <w:b w:val="0"/>
          <w:sz w:val="22"/>
        </w:rPr>
        <w:t>Modelo Estructural</w:t>
      </w:r>
    </w:p>
    <w:p>
      <w:pPr>
        <w:spacing w:after="40"/>
        <w:ind w:left="907"/>
      </w:pPr>
      <w:r>
        <w:rPr>
          <w:b w:val="0"/>
          <w:sz w:val="22"/>
        </w:rPr>
        <w:t>Modelo Dinámico</w:t>
      </w:r>
    </w:p>
    <w:p>
      <w:pPr>
        <w:spacing w:after="40"/>
        <w:ind w:left="907"/>
      </w:pPr>
      <w:r>
        <w:rPr>
          <w:b w:val="0"/>
          <w:sz w:val="22"/>
        </w:rPr>
        <w:t>Otros diagramas</w:t>
      </w:r>
    </w:p>
    <w:p>
      <w:pPr>
        <w:spacing w:after="40"/>
        <w:ind w:left="454"/>
      </w:pPr>
      <w:r>
        <w:rPr>
          <w:b w:val="0"/>
          <w:sz w:val="22"/>
        </w:rPr>
        <w:t>Matriz de Requerimientos vs Casos de Uso</w:t>
      </w:r>
    </w:p>
    <w:p>
      <w:pPr>
        <w:spacing w:after="40"/>
        <w:ind w:left="0"/>
      </w:pPr>
      <w:r>
        <w:rPr>
          <w:b/>
          <w:sz w:val="22"/>
        </w:rPr>
        <w:t>Modelo de Diseño</w:t>
      </w:r>
    </w:p>
    <w:p>
      <w:pPr>
        <w:spacing w:after="40"/>
        <w:ind w:left="454"/>
      </w:pPr>
      <w:r>
        <w:rPr>
          <w:b w:val="0"/>
          <w:sz w:val="22"/>
        </w:rPr>
        <w:t>Diagrama de Clases Persistentes</w:t>
      </w:r>
    </w:p>
    <w:p>
      <w:pPr>
        <w:spacing w:after="40"/>
        <w:ind w:left="454"/>
      </w:pPr>
      <w:r>
        <w:rPr>
          <w:b w:val="0"/>
          <w:sz w:val="22"/>
        </w:rPr>
        <w:t>Diagrama de Entidad Relación</w:t>
      </w:r>
    </w:p>
    <w:p>
      <w:pPr>
        <w:spacing w:after="40"/>
        <w:ind w:left="0"/>
      </w:pPr>
      <w:r>
        <w:rPr>
          <w:b/>
          <w:sz w:val="22"/>
        </w:rPr>
        <w:t>Referencias</w:t>
      </w:r>
    </w:p>
    <w:p>
      <w:r>
        <w:br w:type="page"/>
      </w:r>
    </w:p>
    <w:p>
      <w:pPr>
        <w:pStyle w:val="Heading1"/>
      </w:pPr>
      <w:r>
        <w:t>Modelo de Análisis</w:t>
      </w:r>
    </w:p>
    <w:p>
      <w:pPr>
        <w:spacing w:after="120"/>
      </w:pPr>
      <w:r>
        <w:rPr>
          <w:b w:val="0"/>
        </w:rPr>
        <w:t>Este modelo describe el análisis de Obra Studio, sistema de gestión de obra que separa dos motores: el ECMS mide la obra y el ERP registra lo que el ECMS midió. El alcance desarrollado comprende presupuesto, análisis de costo unitario, certificación y subcontratos, con facturas y pagos tratados como interacción con el ERP. La arquitectura de referencia es Clean Architecture; sus anillos se proyectan sobre la notación de análisis mediante los estereotipos «Boundary» (adaptadores de interfaz), «Control» (casos de uso) y «Entity» (dominio), y los puertos aparecen como «Interface» realizados por la infraestructura.</w:t>
      </w:r>
    </w:p>
    <w:p>
      <w:pPr>
        <w:pStyle w:val="Heading2"/>
      </w:pPr>
      <w:r>
        <w:t>Identificación de Actores</w:t>
      </w:r>
    </w:p>
    <w:tbl>
      <w:tblPr>
        <w:tblStyle w:val="TableGrid"/>
        <w:tblW w:type="auto" w:w="0"/>
        <w:tblLook w:firstColumn="1" w:firstRow="1" w:lastColumn="0" w:lastRow="0" w:noHBand="0" w:noVBand="1" w:val="04A0"/>
      </w:tblPr>
      <w:tblGrid>
        <w:gridCol w:w="4536"/>
        <w:gridCol w:w="4536"/>
      </w:tblGrid>
      <w:tr>
        <w:tc>
          <w:tcPr>
            <w:tcW w:type="dxa" w:w="2268"/>
          </w:tcPr>
          <w:p>
            <w:pPr>
              <w:spacing w:after="40"/>
            </w:pPr>
            <w:r/>
            <w:r>
              <w:rPr>
                <w:rFonts w:ascii="Liberation Serif" w:hAnsi="Liberation Serif"/>
                <w:b/>
                <w:sz w:val="19"/>
              </w:rPr>
              <w:t>Actor</w:t>
            </w:r>
          </w:p>
        </w:tc>
        <w:tc>
          <w:tcPr>
            <w:tcW w:type="dxa" w:w="6803"/>
          </w:tcPr>
          <w:p>
            <w:pPr>
              <w:spacing w:after="40"/>
            </w:pPr>
            <w:r/>
            <w:r>
              <w:rPr>
                <w:rFonts w:ascii="Liberation Serif" w:hAnsi="Liberation Serif"/>
                <w:b/>
                <w:sz w:val="19"/>
              </w:rPr>
              <w:t>Descripción</w:t>
            </w:r>
          </w:p>
        </w:tc>
      </w:tr>
      <w:tr>
        <w:tc>
          <w:tcPr>
            <w:tcW w:type="dxa" w:w="2268"/>
          </w:tcPr>
          <w:p>
            <w:pPr>
              <w:spacing w:after="40"/>
            </w:pPr>
            <w:r/>
            <w:r>
              <w:rPr>
                <w:rFonts w:ascii="Liberation Serif" w:hAnsi="Liberation Serif"/>
                <w:sz w:val="19"/>
              </w:rPr>
              <w:t>Ingeniero de Obra</w:t>
            </w:r>
          </w:p>
        </w:tc>
        <w:tc>
          <w:tcPr>
            <w:tcW w:type="dxa" w:w="6803"/>
          </w:tcPr>
          <w:p>
            <w:pPr>
              <w:spacing w:after="40"/>
            </w:pPr>
            <w:r/>
            <w:r>
              <w:rPr>
                <w:rFonts w:ascii="Liberation Serif" w:hAnsi="Liberation Serif"/>
                <w:sz w:val="19"/>
              </w:rPr>
              <w:t>Carga el presupuesto y el cronograma de la obra, registra la medición oficial de cada ítem del período con su evidencia, genera y emite los certificados de avance y los corrige.</w:t>
            </w:r>
          </w:p>
        </w:tc>
      </w:tr>
      <w:tr>
        <w:tc>
          <w:tcPr>
            <w:tcW w:type="dxa" w:w="2268"/>
          </w:tcPr>
          <w:p>
            <w:pPr>
              <w:spacing w:after="40"/>
            </w:pPr>
            <w:r/>
            <w:r>
              <w:rPr>
                <w:rFonts w:ascii="Liberation Serif" w:hAnsi="Liberation Serif"/>
                <w:sz w:val="19"/>
              </w:rPr>
              <w:t>Responsable Técnico</w:t>
            </w:r>
          </w:p>
        </w:tc>
        <w:tc>
          <w:tcPr>
            <w:tcW w:type="dxa" w:w="6803"/>
          </w:tcPr>
          <w:p>
            <w:pPr>
              <w:spacing w:after="40"/>
            </w:pPr>
            <w:r/>
            <w:r>
              <w:rPr>
                <w:rFonts w:ascii="Liberation Serif" w:hAnsi="Liberation Serif"/>
                <w:sz w:val="19"/>
              </w:rPr>
              <w:t>Supervisor de la obra. Aprueba o rechaza cada medición oficial y cierra el período de medición.</w:t>
            </w:r>
          </w:p>
        </w:tc>
      </w:tr>
      <w:tr>
        <w:tc>
          <w:tcPr>
            <w:tcW w:type="dxa" w:w="2268"/>
          </w:tcPr>
          <w:p>
            <w:pPr>
              <w:spacing w:after="40"/>
            </w:pPr>
            <w:r/>
            <w:r>
              <w:rPr>
                <w:rFonts w:ascii="Liberation Serif" w:hAnsi="Liberation Serif"/>
                <w:sz w:val="19"/>
              </w:rPr>
              <w:t>Administrador</w:t>
            </w:r>
          </w:p>
        </w:tc>
        <w:tc>
          <w:tcPr>
            <w:tcW w:type="dxa" w:w="6803"/>
          </w:tcPr>
          <w:p>
            <w:pPr>
              <w:spacing w:after="40"/>
            </w:pPr>
            <w:r/>
            <w:r>
              <w:rPr>
                <w:rFonts w:ascii="Liberation Serif" w:hAnsi="Liberation Serif"/>
                <w:sz w:val="19"/>
              </w:rPr>
              <w:t>Gerente de la obra. Configura la obra, sus impuestos y sus fondos de retención, activa la versión de presupuesto, emite certificados de avance y aprueba los movimientos presupuestarios.</w:t>
            </w:r>
          </w:p>
        </w:tc>
      </w:tr>
      <w:tr>
        <w:tc>
          <w:tcPr>
            <w:tcW w:type="dxa" w:w="2268"/>
          </w:tcPr>
          <w:p>
            <w:pPr>
              <w:spacing w:after="40"/>
            </w:pPr>
            <w:r/>
            <w:r>
              <w:rPr>
                <w:rFonts w:ascii="Liberation Serif" w:hAnsi="Liberation Serif"/>
                <w:sz w:val="19"/>
              </w:rPr>
              <w:t>Subcontratista</w:t>
            </w:r>
          </w:p>
        </w:tc>
        <w:tc>
          <w:tcPr>
            <w:tcW w:type="dxa" w:w="6803"/>
          </w:tcPr>
          <w:p>
            <w:pPr>
              <w:spacing w:after="40"/>
            </w:pPr>
            <w:r/>
            <w:r>
              <w:rPr>
                <w:rFonts w:ascii="Liberation Serif" w:hAnsi="Liberation Serif"/>
                <w:sz w:val="19"/>
              </w:rPr>
              <w:t>Consulta el estado de sus mediciones, certificados, valorizaciones y saldos. No registra mediciones: las de su trabajo las mide en terreno y las carga el Ingeniero de Obra. No accede a información de otros contratos ni a datos internos de la obra.</w:t>
            </w:r>
          </w:p>
        </w:tc>
      </w:tr>
      <w:tr>
        <w:tc>
          <w:tcPr>
            <w:tcW w:type="dxa" w:w="2268"/>
          </w:tcPr>
          <w:p>
            <w:pPr>
              <w:spacing w:after="40"/>
            </w:pPr>
            <w:r/>
            <w:r>
              <w:rPr>
                <w:rFonts w:ascii="Liberation Serif" w:hAnsi="Liberation Serif"/>
                <w:sz w:val="19"/>
              </w:rPr>
              <w:t>Cliente</w:t>
            </w:r>
          </w:p>
        </w:tc>
        <w:tc>
          <w:tcPr>
            <w:tcW w:type="dxa" w:w="6803"/>
          </w:tcPr>
          <w:p>
            <w:pPr>
              <w:spacing w:after="40"/>
            </w:pPr>
            <w:r/>
            <w:r>
              <w:rPr>
                <w:rFonts w:ascii="Liberation Serif" w:hAnsi="Liberation Serif"/>
                <w:sz w:val="19"/>
              </w:rPr>
              <w:t>Comitente de la obra. Acepta contractualmente los movimientos presupuestarios y recibe la factura que el ERP deriva de lo certificado.</w:t>
            </w:r>
          </w:p>
        </w:tc>
      </w:tr>
      <w:tr>
        <w:tc>
          <w:tcPr>
            <w:tcW w:type="dxa" w:w="2268"/>
          </w:tcPr>
          <w:p>
            <w:pPr>
              <w:spacing w:after="40"/>
            </w:pPr>
            <w:r/>
            <w:r>
              <w:rPr>
                <w:rFonts w:ascii="Liberation Serif" w:hAnsi="Liberation Serif"/>
                <w:sz w:val="19"/>
              </w:rPr>
              <w:t>Motor de Ingeniería</w:t>
            </w:r>
          </w:p>
        </w:tc>
        <w:tc>
          <w:tcPr>
            <w:tcW w:type="dxa" w:w="6803"/>
          </w:tcPr>
          <w:p>
            <w:pPr>
              <w:spacing w:after="40"/>
            </w:pPr>
            <w:r/>
            <w:r>
              <w:rPr>
                <w:rFonts w:ascii="Liberation Serif" w:hAnsi="Liberation Serif"/>
                <w:sz w:val="19"/>
              </w:rPr>
              <w:t>Motor de obra de Obra Studio. Calcula los costos por vía de material, mano de obra y equipo a partir del análisis de costo unitario, y publica el certificado emitido para que el ERP derive su documento financiero. Es la fuente de verdad de la medición.</w:t>
            </w:r>
          </w:p>
        </w:tc>
      </w:tr>
      <w:tr>
        <w:tc>
          <w:tcPr>
            <w:tcW w:type="dxa" w:w="2268"/>
          </w:tcPr>
          <w:p>
            <w:pPr>
              <w:spacing w:after="40"/>
            </w:pPr>
            <w:r/>
            <w:r>
              <w:rPr>
                <w:rFonts w:ascii="Liberation Serif" w:hAnsi="Liberation Serif"/>
                <w:sz w:val="19"/>
              </w:rPr>
              <w:t>Motor ERP</w:t>
            </w:r>
          </w:p>
        </w:tc>
        <w:tc>
          <w:tcPr>
            <w:tcW w:type="dxa" w:w="6803"/>
          </w:tcPr>
          <w:p>
            <w:pPr>
              <w:spacing w:after="40"/>
            </w:pPr>
            <w:r/>
            <w:r>
              <w:rPr>
                <w:rFonts w:ascii="Liberation Serif" w:hAnsi="Liberation Serif"/>
                <w:sz w:val="19"/>
              </w:rPr>
              <w:t>Motor financiero y documental de Obra Studio. Recibe los certificados emitidos, los refleja en el avance físico-financiero de la obra y genera la factura al cliente a partir del certificado interno o el pago al subcontratista. Es dueño de los documentos legales; no calcula costo de obra.</w:t>
            </w:r>
          </w:p>
        </w:tc>
      </w:tr>
      <w:tr>
        <w:tc>
          <w:tcPr>
            <w:tcW w:type="dxa" w:w="2268"/>
          </w:tcPr>
          <w:p>
            <w:pPr>
              <w:spacing w:after="40"/>
            </w:pPr>
            <w:r/>
            <w:r>
              <w:rPr>
                <w:rFonts w:ascii="Liberation Serif" w:hAnsi="Liberation Serif"/>
                <w:sz w:val="19"/>
              </w:rPr>
              <w:t>Finanzas y Tesorería</w:t>
            </w:r>
          </w:p>
        </w:tc>
        <w:tc>
          <w:tcPr>
            <w:tcW w:type="dxa" w:w="6803"/>
          </w:tcPr>
          <w:p>
            <w:pPr>
              <w:spacing w:after="40"/>
            </w:pPr>
            <w:r/>
            <w:r>
              <w:rPr>
                <w:rFonts w:ascii="Liberation Serif" w:hAnsi="Liberation Serif"/>
                <w:sz w:val="19"/>
              </w:rPr>
              <w:t>Opera dentro del ERP. Aprueba y ejecuta pagos y registra cobros a partir de los documentos derivados de un certificado emitido.</w:t>
            </w:r>
          </w:p>
        </w:tc>
      </w:tr>
    </w:tbl>
    <w:p>
      <w:pPr>
        <w:pStyle w:val="Heading2"/>
      </w:pPr>
      <w:r>
        <w:t>Requerimientos</w:t>
      </w:r>
    </w:p>
    <w:p>
      <w:pPr>
        <w:pStyle w:val="Heading3"/>
      </w:pPr>
      <w:r>
        <w:t>Requerimientos Funcionales</w:t>
      </w:r>
    </w:p>
    <w:tbl>
      <w:tblPr>
        <w:tblStyle w:val="TableGrid"/>
        <w:tblW w:type="auto" w:w="0"/>
        <w:tblLook w:firstColumn="1" w:firstRow="1" w:lastColumn="0" w:lastRow="0" w:noHBand="0" w:noVBand="1" w:val="04A0"/>
      </w:tblPr>
      <w:tblGrid>
        <w:gridCol w:w="4536"/>
        <w:gridCol w:w="4536"/>
      </w:tblGrid>
      <w:tr>
        <w:tc>
          <w:tcPr>
            <w:tcW w:type="dxa" w:w="1020"/>
          </w:tcPr>
          <w:p>
            <w:pPr>
              <w:spacing w:after="40"/>
            </w:pPr>
            <w:r/>
            <w:r>
              <w:rPr>
                <w:rFonts w:ascii="Liberation Serif" w:hAnsi="Liberation Serif"/>
                <w:b/>
                <w:sz w:val="19"/>
              </w:rPr>
              <w:t>ID</w:t>
            </w:r>
          </w:p>
        </w:tc>
        <w:tc>
          <w:tcPr>
            <w:tcW w:type="dxa" w:w="8050"/>
          </w:tcPr>
          <w:p>
            <w:pPr>
              <w:spacing w:after="40"/>
            </w:pPr>
            <w:r/>
            <w:r>
              <w:rPr>
                <w:rFonts w:ascii="Liberation Serif" w:hAnsi="Liberation Serif"/>
                <w:b/>
                <w:sz w:val="19"/>
              </w:rPr>
              <w:t>Requerimiento</w:t>
            </w:r>
          </w:p>
        </w:tc>
      </w:tr>
      <w:tr>
        <w:tc>
          <w:tcPr>
            <w:tcW w:type="dxa" w:w="1020"/>
          </w:tcPr>
          <w:p>
            <w:pPr>
              <w:spacing w:after="40"/>
            </w:pPr>
            <w:r/>
            <w:r>
              <w:rPr>
                <w:rFonts w:ascii="Liberation Serif" w:hAnsi="Liberation Serif"/>
                <w:sz w:val="19"/>
              </w:rPr>
              <w:t>RF-01</w:t>
            </w:r>
          </w:p>
        </w:tc>
        <w:tc>
          <w:tcPr>
            <w:tcW w:type="dxa" w:w="8050"/>
          </w:tcPr>
          <w:p>
            <w:pPr>
              <w:spacing w:after="40"/>
            </w:pPr>
            <w:r/>
            <w:r>
              <w:rPr>
                <w:rFonts w:ascii="Liberation Serif" w:hAnsi="Liberation Serif"/>
                <w:sz w:val="19"/>
              </w:rPr>
              <w:t>El sistema permitirá crear una obra con datos identificatorios y asignar sus responsables.</w:t>
            </w:r>
          </w:p>
        </w:tc>
      </w:tr>
      <w:tr>
        <w:tc>
          <w:tcPr>
            <w:tcW w:type="dxa" w:w="1020"/>
          </w:tcPr>
          <w:p>
            <w:pPr>
              <w:spacing w:after="40"/>
            </w:pPr>
            <w:r/>
            <w:r>
              <w:rPr>
                <w:rFonts w:ascii="Liberation Serif" w:hAnsi="Liberation Serif"/>
                <w:sz w:val="19"/>
              </w:rPr>
              <w:t>RF-02</w:t>
            </w:r>
          </w:p>
        </w:tc>
        <w:tc>
          <w:tcPr>
            <w:tcW w:type="dxa" w:w="8050"/>
          </w:tcPr>
          <w:p>
            <w:pPr>
              <w:spacing w:after="40"/>
            </w:pPr>
            <w:r/>
            <w:r>
              <w:rPr>
                <w:rFonts w:ascii="Liberation Serif" w:hAnsi="Liberation Serif"/>
                <w:sz w:val="19"/>
              </w:rPr>
              <w:t>El sistema permitirá cargar el XLSX de presupuesto y cronograma y conservar el archivo original asociado a su versión.</w:t>
            </w:r>
          </w:p>
        </w:tc>
      </w:tr>
      <w:tr>
        <w:tc>
          <w:tcPr>
            <w:tcW w:type="dxa" w:w="1020"/>
          </w:tcPr>
          <w:p>
            <w:pPr>
              <w:spacing w:after="40"/>
            </w:pPr>
            <w:r/>
            <w:r>
              <w:rPr>
                <w:rFonts w:ascii="Liberation Serif" w:hAnsi="Liberation Serif"/>
                <w:sz w:val="19"/>
              </w:rPr>
              <w:t>RF-03</w:t>
            </w:r>
          </w:p>
        </w:tc>
        <w:tc>
          <w:tcPr>
            <w:tcW w:type="dxa" w:w="8050"/>
          </w:tcPr>
          <w:p>
            <w:pPr>
              <w:spacing w:after="40"/>
            </w:pPr>
            <w:r/>
            <w:r>
              <w:rPr>
                <w:rFonts w:ascii="Liberation Serif" w:hAnsi="Liberation Serif"/>
                <w:sz w:val="19"/>
              </w:rPr>
              <w:t>El sistema identificará hojas, columnas y relaciones entre rubros e ítems e informará cada dato obligatorio inválido con su ubicación.</w:t>
            </w:r>
          </w:p>
        </w:tc>
      </w:tr>
      <w:tr>
        <w:tc>
          <w:tcPr>
            <w:tcW w:type="dxa" w:w="1020"/>
          </w:tcPr>
          <w:p>
            <w:pPr>
              <w:spacing w:after="40"/>
            </w:pPr>
            <w:r/>
            <w:r>
              <w:rPr>
                <w:rFonts w:ascii="Liberation Serif" w:hAnsi="Liberation Serif"/>
                <w:sz w:val="19"/>
              </w:rPr>
              <w:t>RF-04</w:t>
            </w:r>
          </w:p>
        </w:tc>
        <w:tc>
          <w:tcPr>
            <w:tcW w:type="dxa" w:w="8050"/>
          </w:tcPr>
          <w:p>
            <w:pPr>
              <w:spacing w:after="40"/>
            </w:pPr>
            <w:r/>
            <w:r>
              <w:rPr>
                <w:rFonts w:ascii="Liberation Serif" w:hAnsi="Liberation Serif"/>
                <w:sz w:val="19"/>
              </w:rPr>
              <w:t>El sistema mostrará diferencias entre totales declarados en el XLSX y totales recalculados, sin modificar el archivo original.</w:t>
            </w:r>
          </w:p>
        </w:tc>
      </w:tr>
      <w:tr>
        <w:tc>
          <w:tcPr>
            <w:tcW w:type="dxa" w:w="1020"/>
          </w:tcPr>
          <w:p>
            <w:pPr>
              <w:spacing w:after="40"/>
            </w:pPr>
            <w:r/>
            <w:r>
              <w:rPr>
                <w:rFonts w:ascii="Liberation Serif" w:hAnsi="Liberation Serif"/>
                <w:sz w:val="19"/>
              </w:rPr>
              <w:t>RF-05</w:t>
            </w:r>
          </w:p>
        </w:tc>
        <w:tc>
          <w:tcPr>
            <w:tcW w:type="dxa" w:w="8050"/>
          </w:tcPr>
          <w:p>
            <w:pPr>
              <w:spacing w:after="40"/>
            </w:pPr>
            <w:r/>
            <w:r>
              <w:rPr>
                <w:rFonts w:ascii="Liberation Serif" w:hAnsi="Liberation Serif"/>
                <w:sz w:val="19"/>
              </w:rPr>
              <w:t>El sistema permitirá confirmar rubros, unidades y agrupaciones antes de activar el presupuesto de una obra.</w:t>
            </w:r>
          </w:p>
        </w:tc>
      </w:tr>
      <w:tr>
        <w:tc>
          <w:tcPr>
            <w:tcW w:type="dxa" w:w="1020"/>
          </w:tcPr>
          <w:p>
            <w:pPr>
              <w:spacing w:after="40"/>
            </w:pPr>
            <w:r/>
            <w:r>
              <w:rPr>
                <w:rFonts w:ascii="Liberation Serif" w:hAnsi="Liberation Serif"/>
                <w:sz w:val="19"/>
              </w:rPr>
              <w:t>RF-06</w:t>
            </w:r>
          </w:p>
        </w:tc>
        <w:tc>
          <w:tcPr>
            <w:tcW w:type="dxa" w:w="8050"/>
          </w:tcPr>
          <w:p>
            <w:pPr>
              <w:spacing w:after="40"/>
            </w:pPr>
            <w:r/>
            <w:r>
              <w:rPr>
                <w:rFonts w:ascii="Liberation Serif" w:hAnsi="Liberation Serif"/>
                <w:sz w:val="19"/>
              </w:rPr>
              <w:t>El sistema conservará versiones del presupuesto y cronograma; cada modificación aprobada generará una versión nueva sin alterar anteriores.</w:t>
            </w:r>
          </w:p>
        </w:tc>
      </w:tr>
      <w:tr>
        <w:tc>
          <w:tcPr>
            <w:tcW w:type="dxa" w:w="1020"/>
          </w:tcPr>
          <w:p>
            <w:pPr>
              <w:spacing w:after="40"/>
            </w:pPr>
            <w:r/>
            <w:r>
              <w:rPr>
                <w:rFonts w:ascii="Liberation Serif" w:hAnsi="Liberation Serif"/>
                <w:sz w:val="19"/>
              </w:rPr>
              <w:t>RF-07</w:t>
            </w:r>
          </w:p>
        </w:tc>
        <w:tc>
          <w:tcPr>
            <w:tcW w:type="dxa" w:w="8050"/>
          </w:tcPr>
          <w:p>
            <w:pPr>
              <w:spacing w:after="40"/>
            </w:pPr>
            <w:r/>
            <w:r>
              <w:rPr>
                <w:rFonts w:ascii="Liberation Serif" w:hAnsi="Liberation Serif"/>
                <w:sz w:val="19"/>
              </w:rPr>
              <w:t>El sistema permitirá registrar por período una medición oficial por ítem con cantidad, unidad, ejecutor propio o subcontratado y evidencia.</w:t>
            </w:r>
          </w:p>
        </w:tc>
      </w:tr>
      <w:tr>
        <w:tc>
          <w:tcPr>
            <w:tcW w:type="dxa" w:w="1020"/>
          </w:tcPr>
          <w:p>
            <w:pPr>
              <w:spacing w:after="40"/>
            </w:pPr>
            <w:r/>
            <w:r>
              <w:rPr>
                <w:rFonts w:ascii="Liberation Serif" w:hAnsi="Liberation Serif"/>
                <w:sz w:val="19"/>
              </w:rPr>
              <w:t>RF-08</w:t>
            </w:r>
          </w:p>
        </w:tc>
        <w:tc>
          <w:tcPr>
            <w:tcW w:type="dxa" w:w="8050"/>
          </w:tcPr>
          <w:p>
            <w:pPr>
              <w:spacing w:after="40"/>
            </w:pPr>
            <w:r/>
            <w:r>
              <w:rPr>
                <w:rFonts w:ascii="Liberation Serif" w:hAnsi="Liberation Serif"/>
                <w:sz w:val="19"/>
              </w:rPr>
              <w:t>El sistema permitirá al responsable técnico aprobar o rechazar cada medición y conservar decisión, actor y fecha.</w:t>
            </w:r>
          </w:p>
        </w:tc>
      </w:tr>
      <w:tr>
        <w:tc>
          <w:tcPr>
            <w:tcW w:type="dxa" w:w="1020"/>
          </w:tcPr>
          <w:p>
            <w:pPr>
              <w:spacing w:after="40"/>
            </w:pPr>
            <w:r/>
            <w:r>
              <w:rPr>
                <w:rFonts w:ascii="Liberation Serif" w:hAnsi="Liberation Serif"/>
                <w:sz w:val="19"/>
              </w:rPr>
              <w:t>RF-09</w:t>
            </w:r>
          </w:p>
        </w:tc>
        <w:tc>
          <w:tcPr>
            <w:tcW w:type="dxa" w:w="8050"/>
          </w:tcPr>
          <w:p>
            <w:pPr>
              <w:spacing w:after="40"/>
            </w:pPr>
            <w:r/>
            <w:r>
              <w:rPr>
                <w:rFonts w:ascii="Liberation Serif" w:hAnsi="Liberation Serif"/>
                <w:sz w:val="19"/>
              </w:rPr>
              <w:t>El sistema comparará la cantidad medida con el saldo del presupuesto vigente; el exceso quedará como propuesta pendiente y no formará parte de la medición oficial ni del certificado hasta que un movimiento aprobado lo cubra.</w:t>
            </w:r>
          </w:p>
        </w:tc>
      </w:tr>
      <w:tr>
        <w:tc>
          <w:tcPr>
            <w:tcW w:type="dxa" w:w="1020"/>
          </w:tcPr>
          <w:p>
            <w:pPr>
              <w:spacing w:after="40"/>
            </w:pPr>
            <w:r/>
            <w:r>
              <w:rPr>
                <w:rFonts w:ascii="Liberation Serif" w:hAnsi="Liberation Serif"/>
                <w:sz w:val="19"/>
              </w:rPr>
              <w:t>RF-10</w:t>
            </w:r>
          </w:p>
        </w:tc>
        <w:tc>
          <w:tcPr>
            <w:tcW w:type="dxa" w:w="8050"/>
          </w:tcPr>
          <w:p>
            <w:pPr>
              <w:spacing w:after="40"/>
            </w:pPr>
            <w:r/>
            <w:r>
              <w:rPr>
                <w:rFonts w:ascii="Liberation Serif" w:hAnsi="Liberation Serif"/>
                <w:sz w:val="19"/>
              </w:rPr>
              <w:t>El sistema impedirá contabilizar dos veces una misma cantidad de trabajo físico aunque la ejecute un subcontratista.</w:t>
            </w:r>
          </w:p>
        </w:tc>
      </w:tr>
      <w:tr>
        <w:tc>
          <w:tcPr>
            <w:tcW w:type="dxa" w:w="1020"/>
          </w:tcPr>
          <w:p>
            <w:pPr>
              <w:spacing w:after="40"/>
            </w:pPr>
            <w:r/>
            <w:r>
              <w:rPr>
                <w:rFonts w:ascii="Liberation Serif" w:hAnsi="Liberation Serif"/>
                <w:sz w:val="19"/>
              </w:rPr>
              <w:t>RF-11</w:t>
            </w:r>
          </w:p>
        </w:tc>
        <w:tc>
          <w:tcPr>
            <w:tcW w:type="dxa" w:w="8050"/>
          </w:tcPr>
          <w:p>
            <w:pPr>
              <w:spacing w:after="40"/>
            </w:pPr>
            <w:r/>
            <w:r>
              <w:rPr>
                <w:rFonts w:ascii="Liberation Serif" w:hAnsi="Liberation Serif"/>
                <w:sz w:val="19"/>
              </w:rPr>
              <w:t>El sistema permitirá cerrar un período cuando sus mediciones estén resueltas y aprobadas.</w:t>
            </w:r>
          </w:p>
        </w:tc>
      </w:tr>
      <w:tr>
        <w:tc>
          <w:tcPr>
            <w:tcW w:type="dxa" w:w="1020"/>
          </w:tcPr>
          <w:p>
            <w:pPr>
              <w:spacing w:after="40"/>
            </w:pPr>
            <w:r/>
            <w:r>
              <w:rPr>
                <w:rFonts w:ascii="Liberation Serif" w:hAnsi="Liberation Serif"/>
                <w:sz w:val="19"/>
              </w:rPr>
              <w:t>RF-12</w:t>
            </w:r>
          </w:p>
        </w:tc>
        <w:tc>
          <w:tcPr>
            <w:tcW w:type="dxa" w:w="8050"/>
          </w:tcPr>
          <w:p>
            <w:pPr>
              <w:spacing w:after="40"/>
            </w:pPr>
            <w:r/>
            <w:r>
              <w:rPr>
                <w:rFonts w:ascii="Liberation Serif" w:hAnsi="Liberation Serif"/>
                <w:sz w:val="19"/>
              </w:rPr>
              <w:t>El sistema generará el borrador de certificado con cantidades medidas y aprobadas que sean elegibles según el presupuesto vigente.</w:t>
            </w:r>
          </w:p>
        </w:tc>
      </w:tr>
      <w:tr>
        <w:tc>
          <w:tcPr>
            <w:tcW w:type="dxa" w:w="1020"/>
          </w:tcPr>
          <w:p>
            <w:pPr>
              <w:spacing w:after="40"/>
            </w:pPr>
            <w:r/>
            <w:r>
              <w:rPr>
                <w:rFonts w:ascii="Liberation Serif" w:hAnsi="Liberation Serif"/>
                <w:sz w:val="19"/>
              </w:rPr>
              <w:t>RF-13</w:t>
            </w:r>
          </w:p>
        </w:tc>
        <w:tc>
          <w:tcPr>
            <w:tcW w:type="dxa" w:w="8050"/>
          </w:tcPr>
          <w:p>
            <w:pPr>
              <w:spacing w:after="40"/>
            </w:pPr>
            <w:r/>
            <w:r>
              <w:rPr>
                <w:rFonts w:ascii="Liberation Serif" w:hAnsi="Liberation Serif"/>
                <w:sz w:val="19"/>
              </w:rPr>
              <w:t>El sistema calculará la valorización con cantidad certificable y precio de venta vigente, y aplicará impuestos y fondos según la configuración de la obra.</w:t>
            </w:r>
          </w:p>
        </w:tc>
      </w:tr>
      <w:tr>
        <w:tc>
          <w:tcPr>
            <w:tcW w:type="dxa" w:w="1020"/>
          </w:tcPr>
          <w:p>
            <w:pPr>
              <w:spacing w:after="40"/>
            </w:pPr>
            <w:r/>
            <w:r>
              <w:rPr>
                <w:rFonts w:ascii="Liberation Serif" w:hAnsi="Liberation Serif"/>
                <w:sz w:val="19"/>
              </w:rPr>
              <w:t>RF-14</w:t>
            </w:r>
          </w:p>
        </w:tc>
        <w:tc>
          <w:tcPr>
            <w:tcW w:type="dxa" w:w="8050"/>
          </w:tcPr>
          <w:p>
            <w:pPr>
              <w:spacing w:after="40"/>
            </w:pPr>
            <w:r/>
            <w:r>
              <w:rPr>
                <w:rFonts w:ascii="Liberation Serif" w:hAnsi="Liberation Serif"/>
                <w:sz w:val="19"/>
              </w:rPr>
              <w:t>El sistema mostrará la cantidad medida del período, las mediciones oficiales aprobadas acumuladas y el saldo del presupuesto vigente; cada certificado conservará el vínculo con su documento financiero ERP derivado.</w:t>
            </w:r>
          </w:p>
        </w:tc>
      </w:tr>
      <w:tr>
        <w:tc>
          <w:tcPr>
            <w:tcW w:type="dxa" w:w="1020"/>
          </w:tcPr>
          <w:p>
            <w:pPr>
              <w:spacing w:after="40"/>
            </w:pPr>
            <w:r/>
            <w:r>
              <w:rPr>
                <w:rFonts w:ascii="Liberation Serif" w:hAnsi="Liberation Serif"/>
                <w:sz w:val="19"/>
              </w:rPr>
              <w:t>RF-15</w:t>
            </w:r>
          </w:p>
        </w:tc>
        <w:tc>
          <w:tcPr>
            <w:tcW w:type="dxa" w:w="8050"/>
          </w:tcPr>
          <w:p>
            <w:pPr>
              <w:spacing w:after="40"/>
            </w:pPr>
            <w:r/>
            <w:r>
              <w:rPr>
                <w:rFonts w:ascii="Liberation Serif" w:hAnsi="Liberation Serif"/>
                <w:sz w:val="19"/>
              </w:rPr>
              <w:t>El sistema señalará en el borrador excesos, mediciones faltantes, precios sin movimiento vigente y diferencias de totales con sus datos de origen.</w:t>
            </w:r>
          </w:p>
        </w:tc>
      </w:tr>
      <w:tr>
        <w:tc>
          <w:tcPr>
            <w:tcW w:type="dxa" w:w="1020"/>
          </w:tcPr>
          <w:p>
            <w:pPr>
              <w:spacing w:after="40"/>
            </w:pPr>
            <w:r/>
            <w:r>
              <w:rPr>
                <w:rFonts w:ascii="Liberation Serif" w:hAnsi="Liberation Serif"/>
                <w:sz w:val="19"/>
              </w:rPr>
              <w:t>RF-16</w:t>
            </w:r>
          </w:p>
        </w:tc>
        <w:tc>
          <w:tcPr>
            <w:tcW w:type="dxa" w:w="8050"/>
          </w:tcPr>
          <w:p>
            <w:pPr>
              <w:spacing w:after="40"/>
            </w:pPr>
            <w:r/>
            <w:r>
              <w:rPr>
                <w:rFonts w:ascii="Liberation Serif" w:hAnsi="Liberation Serif"/>
                <w:sz w:val="19"/>
              </w:rPr>
              <w:t>El sistema permitirá corregir un certificado emitido creando una revisión nueva vinculada y conservando las revisiones anteriores.</w:t>
            </w:r>
          </w:p>
        </w:tc>
      </w:tr>
      <w:tr>
        <w:tc>
          <w:tcPr>
            <w:tcW w:type="dxa" w:w="1020"/>
          </w:tcPr>
          <w:p>
            <w:pPr>
              <w:spacing w:after="40"/>
            </w:pPr>
            <w:r/>
            <w:r>
              <w:rPr>
                <w:rFonts w:ascii="Liberation Serif" w:hAnsi="Liberation Serif"/>
                <w:sz w:val="19"/>
              </w:rPr>
              <w:t>RF-17</w:t>
            </w:r>
          </w:p>
        </w:tc>
        <w:tc>
          <w:tcPr>
            <w:tcW w:type="dxa" w:w="8050"/>
          </w:tcPr>
          <w:p>
            <w:pPr>
              <w:spacing w:after="40"/>
            </w:pPr>
            <w:r/>
            <w:r>
              <w:rPr>
                <w:rFonts w:ascii="Liberation Serif" w:hAnsi="Liberation Serif"/>
                <w:sz w:val="19"/>
              </w:rPr>
              <w:t>El sistema permitirá emitir el certificado de avance solo a usuarios con rol admin o miembro con acceso al ECMS, y registrará quién lo emitió y cuándo.</w:t>
            </w:r>
          </w:p>
        </w:tc>
      </w:tr>
      <w:tr>
        <w:tc>
          <w:tcPr>
            <w:tcW w:type="dxa" w:w="1020"/>
          </w:tcPr>
          <w:p>
            <w:pPr>
              <w:spacing w:after="40"/>
            </w:pPr>
            <w:r/>
            <w:r>
              <w:rPr>
                <w:rFonts w:ascii="Liberation Serif" w:hAnsi="Liberation Serif"/>
                <w:sz w:val="19"/>
              </w:rPr>
              <w:t>RF-18</w:t>
            </w:r>
          </w:p>
        </w:tc>
        <w:tc>
          <w:tcPr>
            <w:tcW w:type="dxa" w:w="8050"/>
          </w:tcPr>
          <w:p>
            <w:pPr>
              <w:spacing w:after="40"/>
            </w:pPr>
            <w:r/>
            <w:r>
              <w:rPr>
                <w:rFonts w:ascii="Liberation Serif" w:hAnsi="Liberation Serif"/>
                <w:sz w:val="19"/>
              </w:rPr>
              <w:t>El sistema permitirá registrar número, fecha, destinatario y revisión del certificado, y exportar un archivo nuevo XLSX o PDF.</w:t>
            </w:r>
          </w:p>
        </w:tc>
      </w:tr>
      <w:tr>
        <w:tc>
          <w:tcPr>
            <w:tcW w:type="dxa" w:w="1020"/>
          </w:tcPr>
          <w:p>
            <w:pPr>
              <w:spacing w:after="40"/>
            </w:pPr>
            <w:r/>
            <w:r>
              <w:rPr>
                <w:rFonts w:ascii="Liberation Serif" w:hAnsi="Liberation Serif"/>
                <w:sz w:val="19"/>
              </w:rPr>
              <w:t>RF-19</w:t>
            </w:r>
          </w:p>
        </w:tc>
        <w:tc>
          <w:tcPr>
            <w:tcW w:type="dxa" w:w="8050"/>
          </w:tcPr>
          <w:p>
            <w:pPr>
              <w:spacing w:after="40"/>
            </w:pPr>
            <w:r/>
            <w:r>
              <w:rPr>
                <w:rFonts w:ascii="Liberation Serif" w:hAnsi="Liberation Serif"/>
                <w:sz w:val="19"/>
              </w:rPr>
              <w:t>El sistema permitirá proponer ampliaciones, deducciones y variaciones de precio asociadas a rubros o ítems, con motivo y respaldo.</w:t>
            </w:r>
          </w:p>
        </w:tc>
      </w:tr>
      <w:tr>
        <w:tc>
          <w:tcPr>
            <w:tcW w:type="dxa" w:w="1020"/>
          </w:tcPr>
          <w:p>
            <w:pPr>
              <w:spacing w:after="40"/>
            </w:pPr>
            <w:r/>
            <w:r>
              <w:rPr>
                <w:rFonts w:ascii="Liberation Serif" w:hAnsi="Liberation Serif"/>
                <w:sz w:val="19"/>
              </w:rPr>
              <w:t>RF-20</w:t>
            </w:r>
          </w:p>
        </w:tc>
        <w:tc>
          <w:tcPr>
            <w:tcW w:type="dxa" w:w="8050"/>
          </w:tcPr>
          <w:p>
            <w:pPr>
              <w:spacing w:after="40"/>
            </w:pPr>
            <w:r/>
            <w:r>
              <w:rPr>
                <w:rFonts w:ascii="Liberation Serif" w:hAnsi="Liberation Serif"/>
                <w:sz w:val="19"/>
              </w:rPr>
              <w:t>El sistema mostrará efecto monetario, límite, importe utilizado y saldo de cada propuesta, e impedirá aprobar datos incompletos o un exceso sin excepción registrada.</w:t>
            </w:r>
          </w:p>
        </w:tc>
      </w:tr>
      <w:tr>
        <w:tc>
          <w:tcPr>
            <w:tcW w:type="dxa" w:w="1020"/>
          </w:tcPr>
          <w:p>
            <w:pPr>
              <w:spacing w:after="40"/>
            </w:pPr>
            <w:r/>
            <w:r>
              <w:rPr>
                <w:rFonts w:ascii="Liberation Serif" w:hAnsi="Liberation Serif"/>
                <w:sz w:val="19"/>
              </w:rPr>
              <w:t>RF-21</w:t>
            </w:r>
          </w:p>
        </w:tc>
        <w:tc>
          <w:tcPr>
            <w:tcW w:type="dxa" w:w="8050"/>
          </w:tcPr>
          <w:p>
            <w:pPr>
              <w:spacing w:after="40"/>
            </w:pPr>
            <w:r/>
            <w:r>
              <w:rPr>
                <w:rFonts w:ascii="Liberation Serif" w:hAnsi="Liberation Serif"/>
                <w:sz w:val="19"/>
              </w:rPr>
              <w:t>El sistema registrará por separado las aprobaciones interna y contractual de un movimiento presupuestario y solo entonces actualizará la versión vigente.</w:t>
            </w:r>
          </w:p>
        </w:tc>
      </w:tr>
      <w:tr>
        <w:tc>
          <w:tcPr>
            <w:tcW w:type="dxa" w:w="1020"/>
          </w:tcPr>
          <w:p>
            <w:pPr>
              <w:spacing w:after="40"/>
            </w:pPr>
            <w:r/>
            <w:r>
              <w:rPr>
                <w:rFonts w:ascii="Liberation Serif" w:hAnsi="Liberation Serif"/>
                <w:sz w:val="19"/>
              </w:rPr>
              <w:t>RF-22</w:t>
            </w:r>
          </w:p>
        </w:tc>
        <w:tc>
          <w:tcPr>
            <w:tcW w:type="dxa" w:w="8050"/>
          </w:tcPr>
          <w:p>
            <w:pPr>
              <w:spacing w:after="40"/>
            </w:pPr>
            <w:r/>
            <w:r>
              <w:rPr>
                <w:rFonts w:ascii="Liberation Serif" w:hAnsi="Liberation Serif"/>
                <w:sz w:val="19"/>
              </w:rPr>
              <w:t>El sistema certificará cantidades pendientes solo después de que un movimiento aprobado las cubra.</w:t>
            </w:r>
          </w:p>
        </w:tc>
      </w:tr>
      <w:tr>
        <w:tc>
          <w:tcPr>
            <w:tcW w:type="dxa" w:w="1020"/>
          </w:tcPr>
          <w:p>
            <w:pPr>
              <w:spacing w:after="40"/>
            </w:pPr>
            <w:r/>
            <w:r>
              <w:rPr>
                <w:rFonts w:ascii="Liberation Serif" w:hAnsi="Liberation Serif"/>
                <w:sz w:val="19"/>
              </w:rPr>
              <w:t>RF-23</w:t>
            </w:r>
          </w:p>
        </w:tc>
        <w:tc>
          <w:tcPr>
            <w:tcW w:type="dxa" w:w="8050"/>
          </w:tcPr>
          <w:p>
            <w:pPr>
              <w:spacing w:after="40"/>
            </w:pPr>
            <w:r/>
            <w:r>
              <w:rPr>
                <w:rFonts w:ascii="Liberation Serif" w:hAnsi="Liberation Serif"/>
                <w:sz w:val="19"/>
              </w:rPr>
              <w:t>El sistema permitirá registrar en ERP el contrato legal y vincularlo con el alcance técnico, rubros, precios, límites, impuestos y retenciones de la obra.</w:t>
            </w:r>
          </w:p>
        </w:tc>
      </w:tr>
      <w:tr>
        <w:tc>
          <w:tcPr>
            <w:tcW w:type="dxa" w:w="1020"/>
          </w:tcPr>
          <w:p>
            <w:pPr>
              <w:spacing w:after="40"/>
            </w:pPr>
            <w:r/>
            <w:r>
              <w:rPr>
                <w:rFonts w:ascii="Liberation Serif" w:hAnsi="Liberation Serif"/>
                <w:sz w:val="19"/>
              </w:rPr>
              <w:t>RF-24</w:t>
            </w:r>
          </w:p>
        </w:tc>
        <w:tc>
          <w:tcPr>
            <w:tcW w:type="dxa" w:w="8050"/>
          </w:tcPr>
          <w:p>
            <w:pPr>
              <w:spacing w:after="40"/>
            </w:pPr>
            <w:r/>
            <w:r>
              <w:rPr>
                <w:rFonts w:ascii="Liberation Serif" w:hAnsi="Liberation Serif"/>
                <w:sz w:val="19"/>
              </w:rPr>
              <w:t>El sistema permitirá al subcontratista consultar solo el estado de sus mediciones, certificados, valorizaciones y saldos; las mediciones de su trabajo las registra el Ingeniero de Obra.</w:t>
            </w:r>
          </w:p>
        </w:tc>
      </w:tr>
      <w:tr>
        <w:tc>
          <w:tcPr>
            <w:tcW w:type="dxa" w:w="1020"/>
          </w:tcPr>
          <w:p>
            <w:pPr>
              <w:spacing w:after="40"/>
            </w:pPr>
            <w:r/>
            <w:r>
              <w:rPr>
                <w:rFonts w:ascii="Liberation Serif" w:hAnsi="Liberation Serif"/>
                <w:sz w:val="19"/>
              </w:rPr>
              <w:t>RF-25</w:t>
            </w:r>
          </w:p>
        </w:tc>
        <w:tc>
          <w:tcPr>
            <w:tcW w:type="dxa" w:w="8050"/>
          </w:tcPr>
          <w:p>
            <w:pPr>
              <w:spacing w:after="40"/>
            </w:pPr>
            <w:r/>
            <w:r>
              <w:rPr>
                <w:rFonts w:ascii="Liberation Serif" w:hAnsi="Liberation Serif"/>
                <w:sz w:val="19"/>
              </w:rPr>
              <w:t>El sistema valorizará el certificado de subcontratista según el contrato, registrará esa valorización en el control de costos de ECMS y enviará el resultado aprobado a ERP para el proceso de pago, sin cambiar el precio de venta al cliente.</w:t>
            </w:r>
          </w:p>
        </w:tc>
      </w:tr>
      <w:tr>
        <w:tc>
          <w:tcPr>
            <w:tcW w:type="dxa" w:w="1020"/>
          </w:tcPr>
          <w:p>
            <w:pPr>
              <w:spacing w:after="40"/>
            </w:pPr>
            <w:r/>
            <w:r>
              <w:rPr>
                <w:rFonts w:ascii="Liberation Serif" w:hAnsi="Liberation Serif"/>
                <w:sz w:val="19"/>
              </w:rPr>
              <w:t>RF-26</w:t>
            </w:r>
          </w:p>
        </w:tc>
        <w:tc>
          <w:tcPr>
            <w:tcW w:type="dxa" w:w="8050"/>
          </w:tcPr>
          <w:p>
            <w:pPr>
              <w:spacing w:after="40"/>
            </w:pPr>
            <w:r/>
            <w:r>
              <w:rPr>
                <w:rFonts w:ascii="Liberation Serif" w:hAnsi="Liberation Serif"/>
                <w:sz w:val="19"/>
              </w:rPr>
              <w:t>El sistema calculará costos por obra, rubro e ítem mediante materiales, mano de obra y equipos, y comparará los resultados con el presupuesto vigente, que refleja los movimientos aprobados.</w:t>
            </w:r>
          </w:p>
        </w:tc>
      </w:tr>
      <w:tr>
        <w:tc>
          <w:tcPr>
            <w:tcW w:type="dxa" w:w="1020"/>
          </w:tcPr>
          <w:p>
            <w:pPr>
              <w:spacing w:after="40"/>
            </w:pPr>
            <w:r/>
            <w:r>
              <w:rPr>
                <w:rFonts w:ascii="Liberation Serif" w:hAnsi="Liberation Serif"/>
                <w:sz w:val="19"/>
              </w:rPr>
              <w:t>RF-27</w:t>
            </w:r>
          </w:p>
        </w:tc>
        <w:tc>
          <w:tcPr>
            <w:tcW w:type="dxa" w:w="8050"/>
          </w:tcPr>
          <w:p>
            <w:pPr>
              <w:spacing w:after="40"/>
            </w:pPr>
            <w:r/>
            <w:r>
              <w:rPr>
                <w:rFonts w:ascii="Liberation Serif" w:hAnsi="Liberation Serif"/>
                <w:sz w:val="19"/>
              </w:rPr>
              <w:t>El sistema mostrará Curva S a una misma fecha de corte y separará avance físico, financiero y físico pendiente de movimiento presupuestario vigente.</w:t>
            </w:r>
          </w:p>
        </w:tc>
      </w:tr>
      <w:tr>
        <w:tc>
          <w:tcPr>
            <w:tcW w:type="dxa" w:w="1020"/>
          </w:tcPr>
          <w:p>
            <w:pPr>
              <w:spacing w:after="40"/>
            </w:pPr>
            <w:r/>
            <w:r>
              <w:rPr>
                <w:rFonts w:ascii="Liberation Serif" w:hAnsi="Liberation Serif"/>
                <w:sz w:val="19"/>
              </w:rPr>
              <w:t>RF-28</w:t>
            </w:r>
          </w:p>
        </w:tc>
        <w:tc>
          <w:tcPr>
            <w:tcW w:type="dxa" w:w="8050"/>
          </w:tcPr>
          <w:p>
            <w:pPr>
              <w:spacing w:after="40"/>
            </w:pPr>
            <w:r/>
            <w:r>
              <w:rPr>
                <w:rFonts w:ascii="Liberation Serif" w:hAnsi="Liberation Serif"/>
                <w:sz w:val="19"/>
              </w:rPr>
              <w:t>El sistema permitirá consultar presupuesto vigente, costos propios y subcontratados, certificaciones y saldos por obra y rubro, con acceso a cada respaldo.</w:t>
            </w:r>
          </w:p>
        </w:tc>
      </w:tr>
    </w:tbl>
    <w:p>
      <w:pPr>
        <w:pStyle w:val="Heading3"/>
      </w:pPr>
      <w:r>
        <w:t>Requerimientos No Funcionales</w:t>
      </w:r>
    </w:p>
    <w:tbl>
      <w:tblPr>
        <w:tblStyle w:val="TableGrid"/>
        <w:tblW w:type="auto" w:w="0"/>
        <w:tblLook w:firstColumn="1" w:firstRow="1" w:lastColumn="0" w:lastRow="0" w:noHBand="0" w:noVBand="1" w:val="04A0"/>
      </w:tblPr>
      <w:tblGrid>
        <w:gridCol w:w="4536"/>
        <w:gridCol w:w="4536"/>
      </w:tblGrid>
      <w:tr>
        <w:tc>
          <w:tcPr>
            <w:tcW w:type="dxa" w:w="1020"/>
          </w:tcPr>
          <w:p>
            <w:pPr>
              <w:spacing w:after="40"/>
            </w:pPr>
            <w:r/>
            <w:r>
              <w:rPr>
                <w:rFonts w:ascii="Liberation Serif" w:hAnsi="Liberation Serif"/>
                <w:b/>
                <w:sz w:val="19"/>
              </w:rPr>
              <w:t>ID</w:t>
            </w:r>
          </w:p>
        </w:tc>
        <w:tc>
          <w:tcPr>
            <w:tcW w:type="dxa" w:w="8050"/>
          </w:tcPr>
          <w:p>
            <w:pPr>
              <w:spacing w:after="40"/>
            </w:pPr>
            <w:r/>
            <w:r>
              <w:rPr>
                <w:rFonts w:ascii="Liberation Serif" w:hAnsi="Liberation Serif"/>
                <w:b/>
                <w:sz w:val="19"/>
              </w:rPr>
              <w:t>Requerimiento</w:t>
            </w:r>
          </w:p>
        </w:tc>
      </w:tr>
      <w:tr>
        <w:tc>
          <w:tcPr>
            <w:tcW w:type="dxa" w:w="1020"/>
          </w:tcPr>
          <w:p>
            <w:pPr>
              <w:spacing w:after="40"/>
            </w:pPr>
            <w:r/>
            <w:r>
              <w:rPr>
                <w:rFonts w:ascii="Liberation Serif" w:hAnsi="Liberation Serif"/>
                <w:sz w:val="19"/>
              </w:rPr>
              <w:t>RNF-01</w:t>
            </w:r>
          </w:p>
        </w:tc>
        <w:tc>
          <w:tcPr>
            <w:tcW w:type="dxa" w:w="8050"/>
          </w:tcPr>
          <w:p>
            <w:pPr>
              <w:spacing w:after="40"/>
            </w:pPr>
            <w:r/>
            <w:r>
              <w:rPr>
                <w:rFonts w:ascii="Liberation Serif" w:hAnsi="Liberation Serif"/>
                <w:sz w:val="19"/>
              </w:rPr>
              <w:t>El sistema comprobará organización, pertenencia a la obra y rol antes de permitir leer o modificar información.</w:t>
            </w:r>
          </w:p>
        </w:tc>
      </w:tr>
      <w:tr>
        <w:tc>
          <w:tcPr>
            <w:tcW w:type="dxa" w:w="1020"/>
          </w:tcPr>
          <w:p>
            <w:pPr>
              <w:spacing w:after="40"/>
            </w:pPr>
            <w:r/>
            <w:r>
              <w:rPr>
                <w:rFonts w:ascii="Liberation Serif" w:hAnsi="Liberation Serif"/>
                <w:sz w:val="19"/>
              </w:rPr>
              <w:t>RNF-02</w:t>
            </w:r>
          </w:p>
        </w:tc>
        <w:tc>
          <w:tcPr>
            <w:tcW w:type="dxa" w:w="8050"/>
          </w:tcPr>
          <w:p>
            <w:pPr>
              <w:spacing w:after="40"/>
            </w:pPr>
            <w:r/>
            <w:r>
              <w:rPr>
                <w:rFonts w:ascii="Liberation Serif" w:hAnsi="Liberation Serif"/>
                <w:sz w:val="19"/>
              </w:rPr>
              <w:t>La vista del subcontratista se limitará a su contrato; no mostrará presupuestos internos, márgenes, salarios ni otros contratos.</w:t>
            </w:r>
          </w:p>
        </w:tc>
      </w:tr>
      <w:tr>
        <w:tc>
          <w:tcPr>
            <w:tcW w:type="dxa" w:w="1020"/>
          </w:tcPr>
          <w:p>
            <w:pPr>
              <w:spacing w:after="40"/>
            </w:pPr>
            <w:r/>
            <w:r>
              <w:rPr>
                <w:rFonts w:ascii="Liberation Serif" w:hAnsi="Liberation Serif"/>
                <w:sz w:val="19"/>
              </w:rPr>
              <w:t>RNF-03</w:t>
            </w:r>
          </w:p>
        </w:tc>
        <w:tc>
          <w:tcPr>
            <w:tcW w:type="dxa" w:w="8050"/>
          </w:tcPr>
          <w:p>
            <w:pPr>
              <w:spacing w:after="40"/>
            </w:pPr>
            <w:r/>
            <w:r>
              <w:rPr>
                <w:rFonts w:ascii="Liberation Serif" w:hAnsi="Liberation Serif"/>
                <w:sz w:val="19"/>
              </w:rPr>
              <w:t>Una operación interrumpida no dejará un período parcialmente cerrado ni una modificación activa sin las aprobaciones requeridas.</w:t>
            </w:r>
          </w:p>
        </w:tc>
      </w:tr>
      <w:tr>
        <w:tc>
          <w:tcPr>
            <w:tcW w:type="dxa" w:w="1020"/>
          </w:tcPr>
          <w:p>
            <w:pPr>
              <w:spacing w:after="40"/>
            </w:pPr>
            <w:r/>
            <w:r>
              <w:rPr>
                <w:rFonts w:ascii="Liberation Serif" w:hAnsi="Liberation Serif"/>
                <w:sz w:val="19"/>
              </w:rPr>
              <w:t>RNF-04</w:t>
            </w:r>
          </w:p>
        </w:tc>
        <w:tc>
          <w:tcPr>
            <w:tcW w:type="dxa" w:w="8050"/>
          </w:tcPr>
          <w:p>
            <w:pPr>
              <w:spacing w:after="40"/>
            </w:pPr>
            <w:r/>
            <w:r>
              <w:rPr>
                <w:rFonts w:ascii="Liberation Serif" w:hAnsi="Liberation Serif"/>
                <w:sz w:val="19"/>
              </w:rPr>
              <w:t>El sistema conservará actor, fecha, obra, versión y evidencia para cada medición, revisión, aprobación, emisión y cambio relevante.</w:t>
            </w:r>
          </w:p>
        </w:tc>
      </w:tr>
      <w:tr>
        <w:tc>
          <w:tcPr>
            <w:tcW w:type="dxa" w:w="1020"/>
          </w:tcPr>
          <w:p>
            <w:pPr>
              <w:spacing w:after="40"/>
            </w:pPr>
            <w:r/>
            <w:r>
              <w:rPr>
                <w:rFonts w:ascii="Liberation Serif" w:hAnsi="Liberation Serif"/>
                <w:sz w:val="19"/>
              </w:rPr>
              <w:t>RNF-05</w:t>
            </w:r>
          </w:p>
        </w:tc>
        <w:tc>
          <w:tcPr>
            <w:tcW w:type="dxa" w:w="8050"/>
          </w:tcPr>
          <w:p>
            <w:pPr>
              <w:spacing w:after="40"/>
            </w:pPr>
            <w:r/>
            <w:r>
              <w:rPr>
                <w:rFonts w:ascii="Liberation Serif" w:hAnsi="Liberation Serif"/>
                <w:sz w:val="19"/>
              </w:rPr>
              <w:t>Los certificados emitidos y las versiones que los originaron permanecerán consultables; una corrección crea una revisión nueva.</w:t>
            </w:r>
          </w:p>
        </w:tc>
      </w:tr>
      <w:tr>
        <w:tc>
          <w:tcPr>
            <w:tcW w:type="dxa" w:w="1020"/>
          </w:tcPr>
          <w:p>
            <w:pPr>
              <w:spacing w:after="40"/>
            </w:pPr>
            <w:r/>
            <w:r>
              <w:rPr>
                <w:rFonts w:ascii="Liberation Serif" w:hAnsi="Liberation Serif"/>
                <w:sz w:val="19"/>
              </w:rPr>
              <w:t>RNF-06</w:t>
            </w:r>
          </w:p>
        </w:tc>
        <w:tc>
          <w:tcPr>
            <w:tcW w:type="dxa" w:w="8050"/>
          </w:tcPr>
          <w:p>
            <w:pPr>
              <w:spacing w:after="40"/>
            </w:pPr>
            <w:r/>
            <w:r>
              <w:rPr>
                <w:rFonts w:ascii="Liberation Serif" w:hAnsi="Liberation Serif"/>
                <w:sz w:val="19"/>
              </w:rPr>
              <w:t>Los cálculos monetarios usarán aritmética decimal y producirán el mismo resultado para iguales entradas, parámetros y versiones.</w:t>
            </w:r>
          </w:p>
        </w:tc>
      </w:tr>
      <w:tr>
        <w:tc>
          <w:tcPr>
            <w:tcW w:type="dxa" w:w="1020"/>
          </w:tcPr>
          <w:p>
            <w:pPr>
              <w:spacing w:after="40"/>
            </w:pPr>
            <w:r/>
            <w:r>
              <w:rPr>
                <w:rFonts w:ascii="Liberation Serif" w:hAnsi="Liberation Serif"/>
                <w:sz w:val="19"/>
              </w:rPr>
              <w:t>RNF-07</w:t>
            </w:r>
          </w:p>
        </w:tc>
        <w:tc>
          <w:tcPr>
            <w:tcW w:type="dxa" w:w="8050"/>
          </w:tcPr>
          <w:p>
            <w:pPr>
              <w:spacing w:after="40"/>
            </w:pPr>
            <w:r/>
            <w:r>
              <w:rPr>
                <w:rFonts w:ascii="Liberation Serif" w:hAnsi="Liberation Serif"/>
                <w:sz w:val="19"/>
              </w:rPr>
              <w:t>Volver a cargar el mismo XLSX sin cambios no creará otra versión de presupuesto o cronograma.</w:t>
            </w:r>
          </w:p>
        </w:tc>
      </w:tr>
      <w:tr>
        <w:tc>
          <w:tcPr>
            <w:tcW w:type="dxa" w:w="1020"/>
          </w:tcPr>
          <w:p>
            <w:pPr>
              <w:spacing w:after="40"/>
            </w:pPr>
            <w:r/>
            <w:r>
              <w:rPr>
                <w:rFonts w:ascii="Liberation Serif" w:hAnsi="Liberation Serif"/>
                <w:sz w:val="19"/>
              </w:rPr>
              <w:t>RNF-08</w:t>
            </w:r>
          </w:p>
        </w:tc>
        <w:tc>
          <w:tcPr>
            <w:tcW w:type="dxa" w:w="8050"/>
          </w:tcPr>
          <w:p>
            <w:pPr>
              <w:spacing w:after="40"/>
            </w:pPr>
            <w:r/>
            <w:r>
              <w:rPr>
                <w:rFonts w:ascii="Liberation Serif" w:hAnsi="Liberation Serif"/>
                <w:sz w:val="19"/>
              </w:rPr>
              <w:t>Las copias de seguridad permitirán restaurar conjuntamente registros, adjuntos y versiones de una obra.</w:t>
            </w:r>
          </w:p>
        </w:tc>
      </w:tr>
      <w:tr>
        <w:tc>
          <w:tcPr>
            <w:tcW w:type="dxa" w:w="1020"/>
          </w:tcPr>
          <w:p>
            <w:pPr>
              <w:spacing w:after="40"/>
            </w:pPr>
            <w:r/>
            <w:r>
              <w:rPr>
                <w:rFonts w:ascii="Liberation Serif" w:hAnsi="Liberation Serif"/>
                <w:sz w:val="19"/>
              </w:rPr>
              <w:t>RNF-09</w:t>
            </w:r>
          </w:p>
        </w:tc>
        <w:tc>
          <w:tcPr>
            <w:tcW w:type="dxa" w:w="8050"/>
          </w:tcPr>
          <w:p>
            <w:pPr>
              <w:spacing w:after="40"/>
            </w:pPr>
            <w:r/>
            <w:r>
              <w:rPr>
                <w:rFonts w:ascii="Liberation Serif" w:hAnsi="Liberation Serif"/>
                <w:sz w:val="19"/>
              </w:rPr>
              <w:t>Los formularios de medición podrán utilizarse desde un teléfono e identificar campos requeridos y errores de carga.</w:t>
            </w:r>
          </w:p>
        </w:tc>
      </w:tr>
      <w:tr>
        <w:tc>
          <w:tcPr>
            <w:tcW w:type="dxa" w:w="1020"/>
          </w:tcPr>
          <w:p>
            <w:pPr>
              <w:spacing w:after="40"/>
            </w:pPr>
            <w:r/>
            <w:r>
              <w:rPr>
                <w:rFonts w:ascii="Liberation Serif" w:hAnsi="Liberation Serif"/>
                <w:sz w:val="19"/>
              </w:rPr>
              <w:t>RNF-10</w:t>
            </w:r>
          </w:p>
        </w:tc>
        <w:tc>
          <w:tcPr>
            <w:tcW w:type="dxa" w:w="8050"/>
          </w:tcPr>
          <w:p>
            <w:pPr>
              <w:spacing w:after="40"/>
            </w:pPr>
            <w:r/>
            <w:r>
              <w:rPr>
                <w:rFonts w:ascii="Liberation Serif" w:hAnsi="Liberation Serif"/>
                <w:sz w:val="19"/>
              </w:rPr>
              <w:t>Las operaciones principales podrán completarse con teclado, foco visible y mensajes de error identificables.</w:t>
            </w:r>
          </w:p>
        </w:tc>
      </w:tr>
      <w:tr>
        <w:tc>
          <w:tcPr>
            <w:tcW w:type="dxa" w:w="1020"/>
          </w:tcPr>
          <w:p>
            <w:pPr>
              <w:spacing w:after="40"/>
            </w:pPr>
            <w:r/>
            <w:r>
              <w:rPr>
                <w:rFonts w:ascii="Liberation Serif" w:hAnsi="Liberation Serif"/>
                <w:sz w:val="19"/>
              </w:rPr>
              <w:t>RNF-11</w:t>
            </w:r>
          </w:p>
        </w:tc>
        <w:tc>
          <w:tcPr>
            <w:tcW w:type="dxa" w:w="8050"/>
          </w:tcPr>
          <w:p>
            <w:pPr>
              <w:spacing w:after="40"/>
            </w:pPr>
            <w:r/>
            <w:r>
              <w:rPr>
                <w:rFonts w:ascii="Liberation Serif" w:hAnsi="Liberation Serif"/>
                <w:sz w:val="19"/>
              </w:rPr>
              <w:t>Los reportes indicarán fecha de corte, unidad, moneda y procedencia de cada total.</w:t>
            </w:r>
          </w:p>
        </w:tc>
      </w:tr>
      <w:tr>
        <w:tc>
          <w:tcPr>
            <w:tcW w:type="dxa" w:w="1020"/>
          </w:tcPr>
          <w:p>
            <w:pPr>
              <w:spacing w:after="40"/>
            </w:pPr>
            <w:r/>
            <w:r>
              <w:rPr>
                <w:rFonts w:ascii="Liberation Serif" w:hAnsi="Liberation Serif"/>
                <w:sz w:val="19"/>
              </w:rPr>
              <w:t>RNF-12</w:t>
            </w:r>
          </w:p>
        </w:tc>
        <w:tc>
          <w:tcPr>
            <w:tcW w:type="dxa" w:w="8050"/>
          </w:tcPr>
          <w:p>
            <w:pPr>
              <w:spacing w:after="40"/>
            </w:pPr>
            <w:r/>
            <w:r>
              <w:rPr>
                <w:rFonts w:ascii="Liberation Serif" w:hAnsi="Liberation Serif"/>
                <w:sz w:val="19"/>
              </w:rPr>
              <w:t>Toda certificación o valorización consultable permitirá recuperar presupuesto, mediciones y documentos usados para calcularla.</w:t>
            </w:r>
          </w:p>
        </w:tc>
      </w:tr>
      <w:tr>
        <w:tc>
          <w:tcPr>
            <w:tcW w:type="dxa" w:w="1020"/>
          </w:tcPr>
          <w:p>
            <w:pPr>
              <w:spacing w:after="40"/>
            </w:pPr>
            <w:r/>
            <w:r>
              <w:rPr>
                <w:rFonts w:ascii="Liberation Serif" w:hAnsi="Liberation Serif"/>
                <w:sz w:val="19"/>
              </w:rPr>
              <w:t>PR-01</w:t>
            </w:r>
          </w:p>
        </w:tc>
        <w:tc>
          <w:tcPr>
            <w:tcW w:type="dxa" w:w="8050"/>
          </w:tcPr>
          <w:p>
            <w:pPr>
              <w:spacing w:after="40"/>
            </w:pPr>
            <w:r/>
            <w:r>
              <w:rPr>
                <w:rFonts w:ascii="Liberation Serif" w:hAnsi="Liberation Serif"/>
                <w:sz w:val="19"/>
              </w:rPr>
              <w:t>La primera versión será una aplicación web en español.</w:t>
            </w:r>
          </w:p>
        </w:tc>
      </w:tr>
      <w:tr>
        <w:tc>
          <w:tcPr>
            <w:tcW w:type="dxa" w:w="1020"/>
          </w:tcPr>
          <w:p>
            <w:pPr>
              <w:spacing w:after="40"/>
            </w:pPr>
            <w:r/>
            <w:r>
              <w:rPr>
                <w:rFonts w:ascii="Liberation Serif" w:hAnsi="Liberation Serif"/>
                <w:sz w:val="19"/>
              </w:rPr>
              <w:t>PR-02</w:t>
            </w:r>
          </w:p>
        </w:tc>
        <w:tc>
          <w:tcPr>
            <w:tcW w:type="dxa" w:w="8050"/>
          </w:tcPr>
          <w:p>
            <w:pPr>
              <w:spacing w:after="40"/>
            </w:pPr>
            <w:r/>
            <w:r>
              <w:rPr>
                <w:rFonts w:ascii="Liberation Serif" w:hAnsi="Liberation Serif"/>
                <w:sz w:val="19"/>
              </w:rPr>
              <w:t>La solución servirá inicialmente a una constructora y respetará la organización por empresa, workspace o proyecto y obra de Obra Studio.</w:t>
            </w:r>
          </w:p>
        </w:tc>
      </w:tr>
      <w:tr>
        <w:tc>
          <w:tcPr>
            <w:tcW w:type="dxa" w:w="1020"/>
          </w:tcPr>
          <w:p>
            <w:pPr>
              <w:spacing w:after="40"/>
            </w:pPr>
            <w:r/>
            <w:r>
              <w:rPr>
                <w:rFonts w:ascii="Liberation Serif" w:hAnsi="Liberation Serif"/>
                <w:sz w:val="19"/>
              </w:rPr>
              <w:t>PR-03</w:t>
            </w:r>
          </w:p>
        </w:tc>
        <w:tc>
          <w:tcPr>
            <w:tcW w:type="dxa" w:w="8050"/>
          </w:tcPr>
          <w:p>
            <w:pPr>
              <w:spacing w:after="40"/>
            </w:pPr>
            <w:r/>
            <w:r>
              <w:rPr>
                <w:rFonts w:ascii="Liberation Serif" w:hAnsi="Liberation Serif"/>
                <w:sz w:val="19"/>
              </w:rPr>
              <w:t>La moneda operativa inicial será guaraní paraguayo (PYG).</w:t>
            </w:r>
          </w:p>
        </w:tc>
      </w:tr>
      <w:tr>
        <w:tc>
          <w:tcPr>
            <w:tcW w:type="dxa" w:w="1020"/>
          </w:tcPr>
          <w:p>
            <w:pPr>
              <w:spacing w:after="40"/>
            </w:pPr>
            <w:r/>
            <w:r>
              <w:rPr>
                <w:rFonts w:ascii="Liberation Serif" w:hAnsi="Liberation Serif"/>
                <w:sz w:val="19"/>
              </w:rPr>
              <w:t>PR-04</w:t>
            </w:r>
          </w:p>
        </w:tc>
        <w:tc>
          <w:tcPr>
            <w:tcW w:type="dxa" w:w="8050"/>
          </w:tcPr>
          <w:p>
            <w:pPr>
              <w:spacing w:after="40"/>
            </w:pPr>
            <w:r/>
            <w:r>
              <w:rPr>
                <w:rFonts w:ascii="Liberation Serif" w:hAnsi="Liberation Serif"/>
                <w:sz w:val="19"/>
              </w:rPr>
              <w:t>El presupuesto y el cronograma podrán ingresar por XLSX; las exportaciones se generarán como archivos nuevos.</w:t>
            </w:r>
          </w:p>
        </w:tc>
      </w:tr>
      <w:tr>
        <w:tc>
          <w:tcPr>
            <w:tcW w:type="dxa" w:w="1020"/>
          </w:tcPr>
          <w:p>
            <w:pPr>
              <w:spacing w:after="40"/>
            </w:pPr>
            <w:r/>
            <w:r>
              <w:rPr>
                <w:rFonts w:ascii="Liberation Serif" w:hAnsi="Liberation Serif"/>
                <w:sz w:val="19"/>
              </w:rPr>
              <w:t>PR-05</w:t>
            </w:r>
          </w:p>
        </w:tc>
        <w:tc>
          <w:tcPr>
            <w:tcW w:type="dxa" w:w="8050"/>
          </w:tcPr>
          <w:p>
            <w:pPr>
              <w:spacing w:after="40"/>
            </w:pPr>
            <w:r/>
            <w:r>
              <w:rPr>
                <w:rFonts w:ascii="Liberation Serif" w:hAnsi="Liberation Serif"/>
                <w:sz w:val="19"/>
              </w:rPr>
              <w:t>La integración entre ECMS y ERP seguirá el puente y eventos definidos en Obra Studio; no se añadirán conectores externos fuera del alcance de módulos.</w:t>
            </w:r>
          </w:p>
        </w:tc>
      </w:tr>
      <w:tr>
        <w:tc>
          <w:tcPr>
            <w:tcW w:type="dxa" w:w="1020"/>
          </w:tcPr>
          <w:p>
            <w:pPr>
              <w:spacing w:after="40"/>
            </w:pPr>
            <w:r/>
            <w:r>
              <w:rPr>
                <w:rFonts w:ascii="Liberation Serif" w:hAnsi="Liberation Serif"/>
                <w:sz w:val="19"/>
              </w:rPr>
              <w:t>PR-06</w:t>
            </w:r>
          </w:p>
        </w:tc>
        <w:tc>
          <w:tcPr>
            <w:tcW w:type="dxa" w:w="8050"/>
          </w:tcPr>
          <w:p>
            <w:pPr>
              <w:spacing w:after="40"/>
            </w:pPr>
            <w:r/>
            <w:r>
              <w:rPr>
                <w:rFonts w:ascii="Liberation Serif" w:hAnsi="Liberation Serif"/>
                <w:sz w:val="19"/>
              </w:rPr>
              <w:t>ERP mantendrá facturas y pagos derivados de certificados aprobados; ECMS no será dueño de los documentos financieros ni de la ejecución de pagos.</w:t>
            </w:r>
          </w:p>
        </w:tc>
      </w:tr>
      <w:tr>
        <w:tc>
          <w:tcPr>
            <w:tcW w:type="dxa" w:w="1020"/>
          </w:tcPr>
          <w:p>
            <w:pPr>
              <w:spacing w:after="40"/>
            </w:pPr>
            <w:r/>
            <w:r>
              <w:rPr>
                <w:rFonts w:ascii="Liberation Serif" w:hAnsi="Liberation Serif"/>
                <w:sz w:val="19"/>
              </w:rPr>
              <w:t>PR-07</w:t>
            </w:r>
          </w:p>
        </w:tc>
        <w:tc>
          <w:tcPr>
            <w:tcW w:type="dxa" w:w="8050"/>
          </w:tcPr>
          <w:p>
            <w:pPr>
              <w:spacing w:after="40"/>
            </w:pPr>
            <w:r/>
            <w:r>
              <w:rPr>
                <w:rFonts w:ascii="Liberation Serif" w:hAnsi="Liberation Serif"/>
                <w:sz w:val="19"/>
              </w:rPr>
              <w:t>El análisis de costo utilizará las vías de materiales, mano de obra y equipos de ACU y motor; este trabajo no desarrolla la operación completa de inventario o almacén.</w:t>
            </w:r>
          </w:p>
        </w:tc>
      </w:tr>
      <w:tr>
        <w:tc>
          <w:tcPr>
            <w:tcW w:type="dxa" w:w="1020"/>
          </w:tcPr>
          <w:p>
            <w:pPr>
              <w:spacing w:after="40"/>
            </w:pPr>
            <w:r/>
            <w:r>
              <w:rPr>
                <w:rFonts w:ascii="Liberation Serif" w:hAnsi="Liberation Serif"/>
                <w:sz w:val="19"/>
              </w:rPr>
              <w:t>PR-08</w:t>
            </w:r>
          </w:p>
        </w:tc>
        <w:tc>
          <w:tcPr>
            <w:tcW w:type="dxa" w:w="8050"/>
          </w:tcPr>
          <w:p>
            <w:pPr>
              <w:spacing w:after="40"/>
            </w:pPr>
            <w:r/>
            <w:r>
              <w:rPr>
                <w:rFonts w:ascii="Liberation Serif" w:hAnsi="Liberation Serif"/>
                <w:sz w:val="19"/>
              </w:rPr>
              <w:t>Toda asistencia de IA para redactar o explicar requerirá verificación y decisión humana; los importes procederán de reglas deterministas.</w:t>
            </w:r>
          </w:p>
        </w:tc>
      </w:tr>
    </w:tbl>
    <w:p>
      <w:pPr>
        <w:spacing w:after="120"/>
      </w:pPr>
      <w:r>
        <w:rPr>
          <w:b w:val="0"/>
          <w:sz w:val="18"/>
        </w:rPr>
        <w:t>Los identificadores PR corresponden a restricciones de plataforma y alcance.</w:t>
      </w:r>
    </w:p>
    <w:p>
      <w:pPr>
        <w:pStyle w:val="Heading2"/>
      </w:pPr>
      <w:r>
        <w:t>Diagrama de Casos de Uso (Alto Nivel)</w:t>
      </w:r>
    </w:p>
    <w:p>
      <w:pPr>
        <w:spacing w:after="120"/>
      </w:pPr>
      <w:r>
        <w:rPr>
          <w:b w:val="0"/>
        </w:rPr>
        <w:t>Los casos de uso se agrupan por procesos: cada subsistema es un caso de uso de alto nivel y cada actor se une a los subsistemas en los que participa. Los actores primarios inician los casos; los secundarios y los motores reciben su resultado.</w:t>
      </w:r>
    </w:p>
    <w:p>
      <w:pPr>
        <w:jc w:val="center"/>
      </w:pPr>
      <w:r>
        <w:drawing>
          <wp:inline xmlns:a="http://schemas.openxmlformats.org/drawingml/2006/main" xmlns:pic="http://schemas.openxmlformats.org/drawingml/2006/picture">
            <wp:extent cx="5760000" cy="3858216"/>
            <wp:docPr id="1" name="Picture 1"/>
            <wp:cNvGraphicFramePr>
              <a:graphicFrameLocks noChangeAspect="1"/>
            </wp:cNvGraphicFramePr>
            <a:graphic>
              <a:graphicData uri="http://schemas.openxmlformats.org/drawingml/2006/picture">
                <pic:pic>
                  <pic:nvPicPr>
                    <pic:cNvPr id="0" name="casos-de-uso-alto-nivel.png"/>
                    <pic:cNvPicPr/>
                  </pic:nvPicPr>
                  <pic:blipFill>
                    <a:blip r:embed="rId11"/>
                    <a:stretch>
                      <a:fillRect/>
                    </a:stretch>
                  </pic:blipFill>
                  <pic:spPr>
                    <a:xfrm>
                      <a:off x="0" y="0"/>
                      <a:ext cx="5760000" cy="3858216"/>
                    </a:xfrm>
                    <a:prstGeom prst="rect"/>
                  </pic:spPr>
                </pic:pic>
              </a:graphicData>
            </a:graphic>
          </wp:inline>
        </w:drawing>
      </w:r>
    </w:p>
    <w:p>
      <w:pPr>
        <w:jc w:val="center"/>
      </w:pPr>
      <w:r>
        <w:rPr>
          <w:i/>
          <w:sz w:val="18"/>
        </w:rPr>
        <w:t>Figura 1. Casos de uso de alto nivel de Obra Studio, agrupados por procesos.</w:t>
      </w:r>
    </w:p>
    <w:p>
      <w:pPr>
        <w:pStyle w:val="Heading2"/>
      </w:pPr>
      <w:r>
        <w:t>Diagrama de Generalización de Actores</w:t>
      </w:r>
    </w:p>
    <w:p>
      <w:pPr>
        <w:spacing w:after="120"/>
      </w:pPr>
      <w:r>
        <w:rPr>
          <w:b w:val="0"/>
        </w:rPr>
        <w:t>Los actores abstractos no tienen casos de uso propios, porque un actor hijo hereda todos los casos del padre; agrupan lo que sus hijos tienen en común. Usuario de Obra: Usuario interno con rol vigente sobre la obra. Agrupa el acceso común que exige RNF-01: organización, pertenencia a la obra y rol se comprueban antes de leer o modificar información. Motor de Obra Studio: Proceso que un motor de Obra Studio ejecuta sin intervención de un usuario: el cálculo por vía, la publicación del certificado emitido y la derivación del documento financiero (D-15).</w:t>
      </w:r>
    </w:p>
    <w:p>
      <w:pPr>
        <w:sectPr>
          <w:headerReference w:type="default" r:id="rId9"/>
          <w:footerReference w:type="default" r:id="rId10"/>
          <w:pgSz w:w="11906" w:h="16838"/>
          <w:pgMar w:top="1247" w:right="1417" w:bottom="1247" w:left="1417" w:header="720" w:footer="720" w:gutter="0"/>
          <w:cols w:space="720"/>
          <w:titlePg/>
          <w:docGrid w:linePitch="360"/>
        </w:sectPr>
      </w:pPr>
    </w:p>
    <w:p>
      <w:pPr>
        <w:jc w:val="center"/>
      </w:pPr>
      <w:r>
        <w:drawing>
          <wp:inline xmlns:a="http://schemas.openxmlformats.org/drawingml/2006/main" xmlns:pic="http://schemas.openxmlformats.org/drawingml/2006/picture">
            <wp:extent cx="9000000" cy="2956012"/>
            <wp:docPr id="2" name="Picture 2"/>
            <wp:cNvGraphicFramePr>
              <a:graphicFrameLocks noChangeAspect="1"/>
            </wp:cNvGraphicFramePr>
            <a:graphic>
              <a:graphicData uri="http://schemas.openxmlformats.org/drawingml/2006/picture">
                <pic:pic>
                  <pic:nvPicPr>
                    <pic:cNvPr id="0" name="generalizacion-actores.png"/>
                    <pic:cNvPicPr/>
                  </pic:nvPicPr>
                  <pic:blipFill>
                    <a:blip r:embed="rId14"/>
                    <a:stretch>
                      <a:fillRect/>
                    </a:stretch>
                  </pic:blipFill>
                  <pic:spPr>
                    <a:xfrm>
                      <a:off x="0" y="0"/>
                      <a:ext cx="9000000" cy="2956012"/>
                    </a:xfrm>
                    <a:prstGeom prst="rect"/>
                  </pic:spPr>
                </pic:pic>
              </a:graphicData>
            </a:graphic>
          </wp:inline>
        </w:drawing>
      </w:r>
    </w:p>
    <w:p>
      <w:pPr>
        <w:jc w:val="center"/>
      </w:pPr>
      <w:r>
        <w:rPr>
          <w:i/>
          <w:sz w:val="18"/>
        </w:rPr>
        <w:t>Figura 2. Generalización de actores.</w:t>
      </w:r>
    </w:p>
    <w:p>
      <w:pPr>
        <w:sectPr>
          <w:headerReference w:type="default" r:id="rId12"/>
          <w:footerReference w:type="default" r:id="rId13"/>
          <w:pgSz w:w="16838" w:h="11906" w:orient="landscape"/>
          <w:pgMar w:top="1361" w:right="1020" w:bottom="680" w:left="1020" w:header="720" w:footer="720" w:gutter="0"/>
          <w:cols w:space="720"/>
          <w:docGrid w:linePitch="360"/>
        </w:sectPr>
      </w:pPr>
    </w:p>
    <w:p>
      <w:pPr>
        <w:pStyle w:val="Heading2"/>
      </w:pPr>
      <w:r>
        <w:t>Diagramas de Casos de Uso</w:t>
      </w:r>
    </w:p>
    <w:p>
      <w:pPr>
        <w:spacing w:after="120"/>
      </w:pPr>
      <w:r>
        <w:rPr>
          <w:b w:val="0"/>
        </w:rPr>
        <w:t>Diagramas refinados, uno por subsistema, con los actores, sus asociaciones y las relaciones include y extend entre casos de uso.</w:t>
      </w:r>
    </w:p>
    <w:p>
      <w:pPr>
        <w:pStyle w:val="Heading3"/>
      </w:pPr>
      <w:r>
        <w:t>Sistema Obra Studio — Subsistema Presupuesto y Medición</w:t>
      </w:r>
    </w:p>
    <w:p>
      <w:pPr>
        <w:spacing w:after="120"/>
      </w:pPr>
      <w:r>
        <w:rPr>
          <w:b w:val="0"/>
          <w:sz w:val="20"/>
        </w:rPr>
        <w:t>Plan de la obra, su versionado y la medición física del avance.</w:t>
      </w:r>
    </w:p>
    <w:p>
      <w:pPr>
        <w:jc w:val="center"/>
      </w:pPr>
      <w:r>
        <w:drawing>
          <wp:inline xmlns:a="http://schemas.openxmlformats.org/drawingml/2006/main" xmlns:pic="http://schemas.openxmlformats.org/drawingml/2006/picture">
            <wp:extent cx="5760000" cy="4646400"/>
            <wp:docPr id="3" name="Picture 3"/>
            <wp:cNvGraphicFramePr>
              <a:graphicFrameLocks noChangeAspect="1"/>
            </wp:cNvGraphicFramePr>
            <a:graphic>
              <a:graphicData uri="http://schemas.openxmlformats.org/drawingml/2006/picture">
                <pic:pic>
                  <pic:nvPicPr>
                    <pic:cNvPr id="0" name="casos-de-uso-A.png"/>
                    <pic:cNvPicPr/>
                  </pic:nvPicPr>
                  <pic:blipFill>
                    <a:blip r:embed="rId17"/>
                    <a:stretch>
                      <a:fillRect/>
                    </a:stretch>
                  </pic:blipFill>
                  <pic:spPr>
                    <a:xfrm>
                      <a:off x="0" y="0"/>
                      <a:ext cx="5760000" cy="4646400"/>
                    </a:xfrm>
                    <a:prstGeom prst="rect"/>
                  </pic:spPr>
                </pic:pic>
              </a:graphicData>
            </a:graphic>
          </wp:inline>
        </w:drawing>
      </w:r>
    </w:p>
    <w:p>
      <w:pPr>
        <w:jc w:val="center"/>
      </w:pPr>
      <w:r>
        <w:rPr>
          <w:i/>
          <w:sz w:val="18"/>
        </w:rPr>
        <w:t>Figura 3. Casos de uso del subsistema Presupuesto y Medición.</w:t>
      </w:r>
    </w:p>
    <w:p>
      <w:pPr>
        <w:sectPr>
          <w:headerReference w:type="default" r:id="rId15"/>
          <w:footerReference w:type="default" r:id="rId16"/>
          <w:pgSz w:w="11906" w:h="16838"/>
          <w:pgMar w:top="1247" w:right="1417" w:bottom="1247" w:left="1417" w:header="720" w:footer="720" w:gutter="0"/>
          <w:cols w:space="720"/>
          <w:docGrid w:linePitch="360"/>
        </w:sectPr>
      </w:pPr>
    </w:p>
    <w:p>
      <w:pPr>
        <w:pStyle w:val="Heading3"/>
      </w:pPr>
      <w:r>
        <w:t>Sistema Obra Studio — Subsistema Certificación y Subcontratos</w:t>
      </w:r>
    </w:p>
    <w:p>
      <w:pPr>
        <w:spacing w:after="120"/>
      </w:pPr>
      <w:r>
        <w:rPr>
          <w:b w:val="0"/>
          <w:sz w:val="20"/>
        </w:rPr>
        <w:t>Valorización del avance medido, su emisión y la derivación al ERP.</w:t>
      </w:r>
    </w:p>
    <w:p>
      <w:pPr>
        <w:jc w:val="center"/>
      </w:pPr>
      <w:r>
        <w:drawing>
          <wp:inline xmlns:a="http://schemas.openxmlformats.org/drawingml/2006/main" xmlns:pic="http://schemas.openxmlformats.org/drawingml/2006/picture">
            <wp:extent cx="9000000" cy="4626420"/>
            <wp:docPr id="4" name="Picture 4"/>
            <wp:cNvGraphicFramePr>
              <a:graphicFrameLocks noChangeAspect="1"/>
            </wp:cNvGraphicFramePr>
            <a:graphic>
              <a:graphicData uri="http://schemas.openxmlformats.org/drawingml/2006/picture">
                <pic:pic>
                  <pic:nvPicPr>
                    <pic:cNvPr id="0" name="casos-de-uso-B.png"/>
                    <pic:cNvPicPr/>
                  </pic:nvPicPr>
                  <pic:blipFill>
                    <a:blip r:embed="rId20"/>
                    <a:stretch>
                      <a:fillRect/>
                    </a:stretch>
                  </pic:blipFill>
                  <pic:spPr>
                    <a:xfrm>
                      <a:off x="0" y="0"/>
                      <a:ext cx="9000000" cy="4626420"/>
                    </a:xfrm>
                    <a:prstGeom prst="rect"/>
                  </pic:spPr>
                </pic:pic>
              </a:graphicData>
            </a:graphic>
          </wp:inline>
        </w:drawing>
      </w:r>
    </w:p>
    <w:p>
      <w:pPr>
        <w:jc w:val="center"/>
      </w:pPr>
      <w:r>
        <w:rPr>
          <w:i/>
          <w:sz w:val="18"/>
        </w:rPr>
        <w:t>Figura 4. Casos de uso del subsistema Certificación y Subcontratos.</w:t>
      </w:r>
    </w:p>
    <w:p>
      <w:pPr>
        <w:sectPr>
          <w:headerReference w:type="default" r:id="rId18"/>
          <w:footerReference w:type="default" r:id="rId19"/>
          <w:pgSz w:w="16838" w:h="11906" w:orient="landscape"/>
          <w:pgMar w:top="1361" w:right="1020" w:bottom="680" w:left="1020" w:header="720" w:footer="720" w:gutter="0"/>
          <w:cols w:space="720"/>
          <w:docGrid w:linePitch="360"/>
        </w:sectPr>
      </w:pPr>
    </w:p>
    <w:p>
      <w:pPr>
        <w:pStyle w:val="Heading2"/>
      </w:pPr>
      <w:r>
        <w:t>Caso de Uso CU-01 Crear obra y asignar responsables</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6898120"/>
            <wp:docPr id="5" name="Picture 5"/>
            <wp:cNvGraphicFramePr>
              <a:graphicFrameLocks noChangeAspect="1"/>
            </wp:cNvGraphicFramePr>
            <a:graphic>
              <a:graphicData uri="http://schemas.openxmlformats.org/drawingml/2006/picture">
                <pic:pic>
                  <pic:nvPicPr>
                    <pic:cNvPr id="0" name="C4-CU01-contexto.png"/>
                    <pic:cNvPicPr/>
                  </pic:nvPicPr>
                  <pic:blipFill>
                    <a:blip r:embed="rId23"/>
                    <a:stretch>
                      <a:fillRect/>
                    </a:stretch>
                  </pic:blipFill>
                  <pic:spPr>
                    <a:xfrm>
                      <a:off x="0" y="0"/>
                      <a:ext cx="5760000" cy="6898120"/>
                    </a:xfrm>
                    <a:prstGeom prst="rect"/>
                  </pic:spPr>
                </pic:pic>
              </a:graphicData>
            </a:graphic>
          </wp:inline>
        </w:drawing>
      </w:r>
    </w:p>
    <w:p>
      <w:pPr>
        <w:jc w:val="center"/>
      </w:pPr>
      <w:r>
        <w:rPr>
          <w:i/>
          <w:sz w:val="18"/>
        </w:rPr>
        <w:t>Figura 5. Contexto C4 del caso de uso CU-01.</w:t>
      </w:r>
    </w:p>
    <w:p>
      <w:pPr>
        <w:jc w:val="center"/>
      </w:pPr>
      <w:r>
        <w:drawing>
          <wp:inline xmlns:a="http://schemas.openxmlformats.org/drawingml/2006/main" xmlns:pic="http://schemas.openxmlformats.org/drawingml/2006/picture">
            <wp:extent cx="5760000" cy="12224000"/>
            <wp:docPr id="6" name="Picture 6"/>
            <wp:cNvGraphicFramePr>
              <a:graphicFrameLocks noChangeAspect="1"/>
            </wp:cNvGraphicFramePr>
            <a:graphic>
              <a:graphicData uri="http://schemas.openxmlformats.org/drawingml/2006/picture">
                <pic:pic>
                  <pic:nvPicPr>
                    <pic:cNvPr id="0" name="C4-CU01-contenedores.png"/>
                    <pic:cNvPicPr/>
                  </pic:nvPicPr>
                  <pic:blipFill>
                    <a:blip r:embed="rId24"/>
                    <a:stretch>
                      <a:fillRect/>
                    </a:stretch>
                  </pic:blipFill>
                  <pic:spPr>
                    <a:xfrm>
                      <a:off x="0" y="0"/>
                      <a:ext cx="5760000" cy="12224000"/>
                    </a:xfrm>
                    <a:prstGeom prst="rect"/>
                  </pic:spPr>
                </pic:pic>
              </a:graphicData>
            </a:graphic>
          </wp:inline>
        </w:drawing>
      </w:r>
    </w:p>
    <w:p>
      <w:pPr>
        <w:jc w:val="center"/>
      </w:pPr>
      <w:r>
        <w:rPr>
          <w:i/>
          <w:sz w:val="18"/>
        </w:rPr>
        <w:t>Figura 6. Contenedores C4 que intervienen en CU-01.</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CU-01 Crear obra y asignar responsables</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Administrador crea una obra dentro de su organización con sus datos identificatorios y su comitente, y le asigna responsables entre los miembros de la organización, cada uno con su rol. El sistema registra la obra con su configuración inicial y deja a cada responsable con un rol vigente sobre ella.</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RF-01, RNF-01, PR-01, PR-02</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Administrador</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El actor tiene rol admin vigente en la organización.</w:t>
            </w:r>
            <w:r>
              <w:rPr>
                <w:rFonts w:ascii="Liberation Serif" w:hAnsi="Liberation Serif"/>
                <w:b w:val="0"/>
                <w:sz w:val="19"/>
              </w:rPr>
              <w:br/>
              <w:t>· Los responsables que se asignarán son miembros de la organización.</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La obra queda registrada en la organización con código, nombre, dirección, fechas y comitente, y con su configuración inicial.</w:t>
            </w:r>
            <w:r>
              <w:rPr>
                <w:rFonts w:ascii="Liberation Serif" w:hAnsi="Liberation Serif"/>
                <w:b w:val="0"/>
                <w:sz w:val="19"/>
              </w:rPr>
              <w:br/>
              <w:t>· Cada responsable asignado tiene un rol vigente sobre la obra desde la fecha de asignación.</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Solicita crear una obra.</w:t>
            </w:r>
          </w:p>
        </w:tc>
        <w:tc>
          <w:tcPr>
            <w:tcW w:type="dxa" w:w="2494"/>
            <w:gridSpan w:val="2"/>
          </w:tcPr>
          <w:p>
            <w:pPr>
              <w:spacing w:after="40"/>
            </w:pPr>
            <w:r/>
            <w:r>
              <w:rPr>
                <w:rFonts w:ascii="Liberation Serif" w:hAnsi="Liberation Serif"/>
                <w:b w:val="0"/>
                <w:sz w:val="19"/>
              </w:rPr>
              <w:t>Presenta el formulario de datos identificatorios y la lista de miembros de la organización.</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Ingresa código, nombre, dirección, fechas de inicio y fin y comitente de la obra.</w:t>
            </w:r>
          </w:p>
        </w:tc>
        <w:tc>
          <w:tcPr>
            <w:tcW w:type="dxa" w:w="2494"/>
            <w:gridSpan w:val="2"/>
          </w:tcPr>
          <w:p>
            <w:pPr>
              <w:spacing w:after="40"/>
            </w:pPr>
            <w:r/>
            <w:r>
              <w:rPr>
                <w:rFonts w:ascii="Liberation Serif" w:hAnsi="Liberation Serif"/>
                <w:b w:val="0"/>
                <w:sz w:val="19"/>
              </w:rPr>
              <w:t>Comprueba que ninguna otra obra de la organización use el mismo código.</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Asigna los responsables y el rol de cada uno.</w:t>
            </w:r>
          </w:p>
        </w:tc>
        <w:tc>
          <w:tcPr>
            <w:tcW w:type="dxa" w:w="2494"/>
            <w:gridSpan w:val="2"/>
          </w:tcPr>
          <w:p>
            <w:pPr>
              <w:spacing w:after="40"/>
            </w:pPr>
            <w:r/>
            <w:r>
              <w:rPr>
                <w:rFonts w:ascii="Liberation Serif" w:hAnsi="Liberation Serif"/>
                <w:b w:val="0"/>
                <w:sz w:val="19"/>
              </w:rPr>
              <w:t>Comprueba que cada responsable sea miembro de la organización y que su rol sea uno de los roles del sistema.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Confirma la creación.</w:t>
            </w:r>
          </w:p>
        </w:tc>
        <w:tc>
          <w:tcPr>
            <w:tcW w:type="dxa" w:w="2494"/>
            <w:gridSpan w:val="2"/>
          </w:tcPr>
          <w:p>
            <w:pPr>
              <w:spacing w:after="40"/>
            </w:pPr>
            <w:r/>
            <w:r>
              <w:rPr>
                <w:rFonts w:ascii="Liberation Serif" w:hAnsi="Liberation Serif"/>
                <w:b w:val="0"/>
                <w:sz w:val="19"/>
              </w:rPr>
              <w:t>Registra la obra con su configuración inicial en la moneda de la organización y los roles asignados, vigentes desde la fecha, y deja registro de la operación.</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2). Código en uso: otra obra de la organización ya usa ese código; el sistema no registra la obra y pide un código distinto.</w:t>
            </w:r>
            <w:r>
              <w:rPr>
                <w:rFonts w:ascii="Liberation Serif" w:hAnsi="Liberation Serif"/>
                <w:b w:val="0"/>
                <w:sz w:val="19"/>
              </w:rPr>
              <w:br/>
              <w:t>E2 (paso 3, PR-02). Responsable ajeno a la organización: el sistema rechaza la asignación, porque la obra y sus responsables pertenecen a la misma organización.</w:t>
            </w:r>
            <w:r>
              <w:rPr>
                <w:rFonts w:ascii="Liberation Serif" w:hAnsi="Liberation Serif"/>
                <w:b w:val="0"/>
                <w:sz w:val="19"/>
              </w:rPr>
              <w:br/>
              <w:t>E3 (RNF-01). El actor no tiene rol admin vigente en la organización: el sistema deniega la operación.</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4715341"/>
            <wp:docPr id="7" name="Picture 7"/>
            <wp:cNvGraphicFramePr>
              <a:graphicFrameLocks noChangeAspect="1"/>
            </wp:cNvGraphicFramePr>
            <a:graphic>
              <a:graphicData uri="http://schemas.openxmlformats.org/drawingml/2006/picture">
                <pic:pic>
                  <pic:nvPicPr>
                    <pic:cNvPr id="0" name="CU-01-clases.png"/>
                    <pic:cNvPicPr/>
                  </pic:nvPicPr>
                  <pic:blipFill>
                    <a:blip r:embed="rId25"/>
                    <a:stretch>
                      <a:fillRect/>
                    </a:stretch>
                  </pic:blipFill>
                  <pic:spPr>
                    <a:xfrm>
                      <a:off x="0" y="0"/>
                      <a:ext cx="5760000" cy="4715341"/>
                    </a:xfrm>
                    <a:prstGeom prst="rect"/>
                  </pic:spPr>
                </pic:pic>
              </a:graphicData>
            </a:graphic>
          </wp:inline>
        </w:drawing>
      </w:r>
    </w:p>
    <w:p>
      <w:pPr>
        <w:jc w:val="center"/>
      </w:pPr>
      <w:r>
        <w:rPr>
          <w:i/>
          <w:sz w:val="18"/>
        </w:rPr>
        <w:t>Figura 7. Clases del caso de uso CU-01.</w:t>
      </w:r>
    </w:p>
    <w:p>
      <w:pPr>
        <w:sectPr>
          <w:headerReference w:type="default" r:id="rId21"/>
          <w:footerReference w:type="default" r:id="rId22"/>
          <w:pgSz w:w="11906" w:h="16838"/>
          <w:pgMar w:top="1247" w:right="1417" w:bottom="1247" w:left="1417"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7833929" cy="4788000"/>
            <wp:docPr id="8" name="Picture 8"/>
            <wp:cNvGraphicFramePr>
              <a:graphicFrameLocks noChangeAspect="1"/>
            </wp:cNvGraphicFramePr>
            <a:graphic>
              <a:graphicData uri="http://schemas.openxmlformats.org/drawingml/2006/picture">
                <pic:pic>
                  <pic:nvPicPr>
                    <pic:cNvPr id="0" name="CU-01-secuencia.png"/>
                    <pic:cNvPicPr/>
                  </pic:nvPicPr>
                  <pic:blipFill>
                    <a:blip r:embed="rId28"/>
                    <a:stretch>
                      <a:fillRect/>
                    </a:stretch>
                  </pic:blipFill>
                  <pic:spPr>
                    <a:xfrm>
                      <a:off x="0" y="0"/>
                      <a:ext cx="7833929" cy="4788000"/>
                    </a:xfrm>
                    <a:prstGeom prst="rect"/>
                  </pic:spPr>
                </pic:pic>
              </a:graphicData>
            </a:graphic>
          </wp:inline>
        </w:drawing>
      </w:r>
    </w:p>
    <w:p>
      <w:pPr>
        <w:jc w:val="center"/>
      </w:pPr>
      <w:r>
        <w:rPr>
          <w:i/>
          <w:sz w:val="18"/>
        </w:rPr>
        <w:t>Figura 8. Interacción del caso de uso CU-01.</w:t>
      </w:r>
    </w:p>
    <w:p>
      <w:pPr>
        <w:jc w:val="center"/>
      </w:pPr>
      <w:r>
        <w:drawing>
          <wp:inline xmlns:a="http://schemas.openxmlformats.org/drawingml/2006/main" xmlns:pic="http://schemas.openxmlformats.org/drawingml/2006/picture">
            <wp:extent cx="9000000" cy="5549147"/>
            <wp:docPr id="9" name="Picture 9"/>
            <wp:cNvGraphicFramePr>
              <a:graphicFrameLocks noChangeAspect="1"/>
            </wp:cNvGraphicFramePr>
            <a:graphic>
              <a:graphicData uri="http://schemas.openxmlformats.org/drawingml/2006/picture">
                <pic:pic>
                  <pic:nvPicPr>
                    <pic:cNvPr id="0" name="C4-CU01.png"/>
                    <pic:cNvPicPr/>
                  </pic:nvPicPr>
                  <pic:blipFill>
                    <a:blip r:embed="rId29"/>
                    <a:stretch>
                      <a:fillRect/>
                    </a:stretch>
                  </pic:blipFill>
                  <pic:spPr>
                    <a:xfrm>
                      <a:off x="0" y="0"/>
                      <a:ext cx="9000000" cy="5549147"/>
                    </a:xfrm>
                    <a:prstGeom prst="rect"/>
                  </pic:spPr>
                </pic:pic>
              </a:graphicData>
            </a:graphic>
          </wp:inline>
        </w:drawing>
      </w:r>
    </w:p>
    <w:p>
      <w:pPr>
        <w:jc w:val="center"/>
      </w:pPr>
      <w:r>
        <w:rPr>
          <w:i/>
          <w:sz w:val="18"/>
        </w:rPr>
        <w:t>Figura 9. Vista dinámica C4 de CU-01 entre componentes.</w:t>
      </w:r>
    </w:p>
    <w:p>
      <w:pPr>
        <w:sectPr>
          <w:headerReference w:type="default" r:id="rId26"/>
          <w:footerReference w:type="default" r:id="rId27"/>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6267600"/>
            <wp:docPr id="10" name="Picture 10"/>
            <wp:cNvGraphicFramePr>
              <a:graphicFrameLocks noChangeAspect="1"/>
            </wp:cNvGraphicFramePr>
            <a:graphic>
              <a:graphicData uri="http://schemas.openxmlformats.org/drawingml/2006/picture">
                <pic:pic>
                  <pic:nvPicPr>
                    <pic:cNvPr id="0" name="CU-01-actividades.png"/>
                    <pic:cNvPicPr/>
                  </pic:nvPicPr>
                  <pic:blipFill>
                    <a:blip r:embed="rId32"/>
                    <a:stretch>
                      <a:fillRect/>
                    </a:stretch>
                  </pic:blipFill>
                  <pic:spPr>
                    <a:xfrm>
                      <a:off x="0" y="0"/>
                      <a:ext cx="5760000" cy="6267600"/>
                    </a:xfrm>
                    <a:prstGeom prst="rect"/>
                  </pic:spPr>
                </pic:pic>
              </a:graphicData>
            </a:graphic>
          </wp:inline>
        </w:drawing>
      </w:r>
    </w:p>
    <w:p>
      <w:pPr>
        <w:jc w:val="center"/>
      </w:pPr>
      <w:r>
        <w:rPr>
          <w:i/>
          <w:sz w:val="18"/>
        </w:rPr>
        <w:t>Figura 10. Actividades del caso de uso CU-01, con sus caminos alternativos y de excepción.</w:t>
      </w:r>
    </w:p>
    <w:p>
      <w:pPr>
        <w:pStyle w:val="Heading2"/>
      </w:pPr>
      <w:r>
        <w:t>Caso de Uso CU-02 Importar presupuesto y cronograma</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8002238"/>
            <wp:docPr id="11" name="Picture 11"/>
            <wp:cNvGraphicFramePr>
              <a:graphicFrameLocks noChangeAspect="1"/>
            </wp:cNvGraphicFramePr>
            <a:graphic>
              <a:graphicData uri="http://schemas.openxmlformats.org/drawingml/2006/picture">
                <pic:pic>
                  <pic:nvPicPr>
                    <pic:cNvPr id="0" name="C4-CU02-contexto.png"/>
                    <pic:cNvPicPr/>
                  </pic:nvPicPr>
                  <pic:blipFill>
                    <a:blip r:embed="rId33"/>
                    <a:stretch>
                      <a:fillRect/>
                    </a:stretch>
                  </pic:blipFill>
                  <pic:spPr>
                    <a:xfrm>
                      <a:off x="0" y="0"/>
                      <a:ext cx="5760000" cy="8002238"/>
                    </a:xfrm>
                    <a:prstGeom prst="rect"/>
                  </pic:spPr>
                </pic:pic>
              </a:graphicData>
            </a:graphic>
          </wp:inline>
        </w:drawing>
      </w:r>
    </w:p>
    <w:p>
      <w:pPr>
        <w:jc w:val="center"/>
      </w:pPr>
      <w:r>
        <w:rPr>
          <w:i/>
          <w:sz w:val="18"/>
        </w:rPr>
        <w:t>Figura 11. Contexto C4 del caso de uso CU-02.</w:t>
      </w:r>
    </w:p>
    <w:p>
      <w:pPr>
        <w:jc w:val="center"/>
      </w:pPr>
      <w:r>
        <w:drawing>
          <wp:inline xmlns:a="http://schemas.openxmlformats.org/drawingml/2006/main" xmlns:pic="http://schemas.openxmlformats.org/drawingml/2006/picture">
            <wp:extent cx="5760000" cy="12754286"/>
            <wp:docPr id="12" name="Picture 12"/>
            <wp:cNvGraphicFramePr>
              <a:graphicFrameLocks noChangeAspect="1"/>
            </wp:cNvGraphicFramePr>
            <a:graphic>
              <a:graphicData uri="http://schemas.openxmlformats.org/drawingml/2006/picture">
                <pic:pic>
                  <pic:nvPicPr>
                    <pic:cNvPr id="0" name="C4-CU02-contenedores.png"/>
                    <pic:cNvPicPr/>
                  </pic:nvPicPr>
                  <pic:blipFill>
                    <a:blip r:embed="rId34"/>
                    <a:stretch>
                      <a:fillRect/>
                    </a:stretch>
                  </pic:blipFill>
                  <pic:spPr>
                    <a:xfrm>
                      <a:off x="0" y="0"/>
                      <a:ext cx="5760000" cy="12754286"/>
                    </a:xfrm>
                    <a:prstGeom prst="rect"/>
                  </pic:spPr>
                </pic:pic>
              </a:graphicData>
            </a:graphic>
          </wp:inline>
        </w:drawing>
      </w:r>
    </w:p>
    <w:p>
      <w:pPr>
        <w:jc w:val="center"/>
      </w:pPr>
      <w:r>
        <w:rPr>
          <w:i/>
          <w:sz w:val="18"/>
        </w:rPr>
        <w:t>Figura 12. Contenedores C4 que intervienen en CU-02.</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CU-02 Importar presupuesto y cronograma</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2026-06-01</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Taveira, Baltazar</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2026-06-15</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Ingeniero de Obra carga el archivo XLSX de presupuesto y cronograma de una obra. El sistema reconoce su estructura, contrasta los totales declarados contra los recalculados, informa los datos inválidos y, tras la confirmación del actor, registra una versión nueva en estado Propuesta, conservando el archivo original y las versiones anteriores. La activación de la versión corresponde a CU-03.</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RF-02, RF-03, RF-04, RF-06, RNF-01, RNF-07, RNF-08, RNF-10, PR-01, PR-04</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Ingeniero de Obra</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La obra existe y el actor tiene un rol vigente sobre ella.</w:t>
            </w:r>
            <w:r>
              <w:rPr>
                <w:rFonts w:ascii="Liberation Serif" w:hAnsi="Liberation Serif"/>
                <w:b w:val="0"/>
                <w:sz w:val="19"/>
              </w:rPr>
              <w:br/>
              <w:t>· El archivo contiene las hojas de presupuesto y de cronograma.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Queda registrada una versión de presupuesto nueva, en estado Propuesta, con su archivo de origen y su informe de importación.</w:t>
            </w:r>
            <w:r>
              <w:rPr>
                <w:rFonts w:ascii="Liberation Serif" w:hAnsi="Liberation Serif"/>
                <w:b w:val="0"/>
                <w:sz w:val="19"/>
              </w:rPr>
              <w:br/>
              <w:t>· Las versiones anteriores permanecen consultables y sin alteración.</w:t>
            </w:r>
            <w:r>
              <w:rPr>
                <w:rFonts w:ascii="Liberation Serif" w:hAnsi="Liberation Serif"/>
                <w:b w:val="0"/>
                <w:sz w:val="19"/>
              </w:rPr>
              <w:br/>
              <w:t>· Si el archivo ya fue importado, no se crea una versión nueva.</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Selecciona la obra y solicita importar el presupuesto.</w:t>
            </w:r>
          </w:p>
        </w:tc>
        <w:tc>
          <w:tcPr>
            <w:tcW w:type="dxa" w:w="2494"/>
            <w:gridSpan w:val="2"/>
          </w:tcPr>
          <w:p>
            <w:pPr>
              <w:spacing w:after="40"/>
            </w:pPr>
            <w:r/>
            <w:r>
              <w:rPr>
                <w:rFonts w:ascii="Liberation Serif" w:hAnsi="Liberation Serif"/>
                <w:b w:val="0"/>
                <w:sz w:val="19"/>
              </w:rPr>
              <w:t>Presenta el formulario de carga y la lista de versiones registradas de la obra.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Adjunta el archivo XLSX de presupuesto y cronograma.</w:t>
            </w:r>
          </w:p>
        </w:tc>
        <w:tc>
          <w:tcPr>
            <w:tcW w:type="dxa" w:w="2494"/>
            <w:gridSpan w:val="2"/>
          </w:tcPr>
          <w:p>
            <w:pPr>
              <w:spacing w:after="40"/>
            </w:pPr>
            <w:r/>
            <w:r>
              <w:rPr>
                <w:rFonts w:ascii="Liberation Serif" w:hAnsi="Liberation Serif"/>
                <w:b w:val="0"/>
                <w:sz w:val="19"/>
              </w:rPr>
              <w:t>Calcula el hash SHA-256 del contenido y comprueba que no corresponda a una versión ya registrada.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Confirma la carga.</w:t>
            </w:r>
          </w:p>
        </w:tc>
        <w:tc>
          <w:tcPr>
            <w:tcW w:type="dxa" w:w="2494"/>
            <w:gridSpan w:val="2"/>
          </w:tcPr>
          <w:p>
            <w:pPr>
              <w:spacing w:after="40"/>
            </w:pPr>
            <w:r/>
            <w:r>
              <w:rPr>
                <w:rFonts w:ascii="Liberation Serif" w:hAnsi="Liberation Serif"/>
                <w:b w:val="0"/>
                <w:sz w:val="19"/>
              </w:rPr>
              <w:t>Identifica hojas y columnas, reconoce rubros, subrubros e ítems, conserva el archivo original sin modificarlo y recalcula los totales.</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Revisa la estructura reconocida y la comparación de totales.</w:t>
            </w:r>
          </w:p>
        </w:tc>
        <w:tc>
          <w:tcPr>
            <w:tcW w:type="dxa" w:w="2494"/>
            <w:gridSpan w:val="2"/>
          </w:tcPr>
          <w:p>
            <w:pPr>
              <w:spacing w:after="40"/>
            </w:pPr>
            <w:r/>
            <w:r>
              <w:rPr>
                <w:rFonts w:ascii="Liberation Serif" w:hAnsi="Liberation Serif"/>
                <w:b w:val="0"/>
                <w:sz w:val="19"/>
              </w:rPr>
              <w:t>Muestra el total declarado y el total recalculado por rubro y general, y señala cada dato obligatorio inválido indicando hoja, fila y columna.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Confirma la importación.</w:t>
            </w:r>
          </w:p>
        </w:tc>
        <w:tc>
          <w:tcPr>
            <w:tcW w:type="dxa" w:w="2494"/>
            <w:gridSpan w:val="2"/>
          </w:tcPr>
          <w:p>
            <w:pPr>
              <w:spacing w:after="40"/>
            </w:pPr>
            <w:r/>
            <w:r>
              <w:rPr>
                <w:rFonts w:ascii="Liberation Serif" w:hAnsi="Liberation Serif"/>
                <w:b w:val="0"/>
                <w:sz w:val="19"/>
              </w:rPr>
              <w:t>Registra una versión de presupuesto nueva en estado Propuesta con su archivo de origen y su informe de importación, pendiente de activación.</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2, RNF-07). Archivo ya importado: el hash coincide con una versión existente; el sistema no crea una versión nueva y refiere la versión que corresponde a ese archivo.</w:t>
            </w:r>
            <w:r>
              <w:rPr>
                <w:rFonts w:ascii="Liberation Serif" w:hAnsi="Liberation Serif"/>
                <w:b w:val="0"/>
                <w:sz w:val="19"/>
              </w:rPr>
              <w:br/>
              <w:t>A2 (paso 4, RF-04). Diferencia entre el total declarado y el recalculado: el sistema exige confirmación explícita; sin confirmación descarta la importación y no registra versión.</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(RF-03). Dato obligatorio inválido: el sistema informa hoja, fila y columna, no registra versión y permite corregir el archivo y reintentar.</w:t>
            </w:r>
            <w:r>
              <w:rPr>
                <w:rFonts w:ascii="Liberation Serif" w:hAnsi="Liberation Serif"/>
                <w:b w:val="0"/>
                <w:sz w:val="19"/>
              </w:rPr>
              <w:br/>
              <w:t>E2 (RNF-01). El actor no tiene rol vigente sobre la obra: el sistema deniega la operación y registra el intento.</w:t>
            </w:r>
            <w:r>
              <w:rPr>
                <w:rFonts w:ascii="Liberation Serif" w:hAnsi="Liberation Serif"/>
                <w:b w:val="0"/>
                <w:sz w:val="19"/>
              </w:rPr>
              <w:br/>
              <w:t>E3. Operación interrumpida: no queda una versión parcial; la obra conserva íntegra su versión vigente anterior.</w:t>
            </w:r>
          </w:p>
        </w:tc>
      </w:tr>
    </w:tbl>
    <w:p>
      <w:pPr>
        <w:sectPr>
          <w:headerReference w:type="default" r:id="rId30"/>
          <w:footerReference w:type="default" r:id="rId31"/>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6892051" cy="4788000"/>
            <wp:docPr id="13" name="Picture 13"/>
            <wp:cNvGraphicFramePr>
              <a:graphicFrameLocks noChangeAspect="1"/>
            </wp:cNvGraphicFramePr>
            <a:graphic>
              <a:graphicData uri="http://schemas.openxmlformats.org/drawingml/2006/picture">
                <pic:pic>
                  <pic:nvPicPr>
                    <pic:cNvPr id="0" name="CU-02-clases.png"/>
                    <pic:cNvPicPr/>
                  </pic:nvPicPr>
                  <pic:blipFill>
                    <a:blip r:embed="rId37"/>
                    <a:stretch>
                      <a:fillRect/>
                    </a:stretch>
                  </pic:blipFill>
                  <pic:spPr>
                    <a:xfrm>
                      <a:off x="0" y="0"/>
                      <a:ext cx="6892051" cy="4788000"/>
                    </a:xfrm>
                    <a:prstGeom prst="rect"/>
                  </pic:spPr>
                </pic:pic>
              </a:graphicData>
            </a:graphic>
          </wp:inline>
        </w:drawing>
      </w:r>
    </w:p>
    <w:p>
      <w:pPr>
        <w:jc w:val="center"/>
      </w:pPr>
      <w:r>
        <w:rPr>
          <w:i/>
          <w:sz w:val="18"/>
        </w:rPr>
        <w:t>Figura 13. Clases del caso de uso CU-02.</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4470824"/>
            <wp:docPr id="14" name="Picture 14"/>
            <wp:cNvGraphicFramePr>
              <a:graphicFrameLocks noChangeAspect="1"/>
            </wp:cNvGraphicFramePr>
            <a:graphic>
              <a:graphicData uri="http://schemas.openxmlformats.org/drawingml/2006/picture">
                <pic:pic>
                  <pic:nvPicPr>
                    <pic:cNvPr id="0" name="CU-02-secuencia.png"/>
                    <pic:cNvPicPr/>
                  </pic:nvPicPr>
                  <pic:blipFill>
                    <a:blip r:embed="rId38"/>
                    <a:stretch>
                      <a:fillRect/>
                    </a:stretch>
                  </pic:blipFill>
                  <pic:spPr>
                    <a:xfrm>
                      <a:off x="0" y="0"/>
                      <a:ext cx="9000000" cy="4470824"/>
                    </a:xfrm>
                    <a:prstGeom prst="rect"/>
                  </pic:spPr>
                </pic:pic>
              </a:graphicData>
            </a:graphic>
          </wp:inline>
        </w:drawing>
      </w:r>
    </w:p>
    <w:p>
      <w:pPr>
        <w:jc w:val="center"/>
      </w:pPr>
      <w:r>
        <w:rPr>
          <w:i/>
          <w:sz w:val="18"/>
        </w:rPr>
        <w:t>Figura 14. Interacción del caso de uso CU-02.</w:t>
      </w:r>
    </w:p>
    <w:p>
      <w:pPr>
        <w:jc w:val="center"/>
      </w:pPr>
      <w:r>
        <w:drawing>
          <wp:inline xmlns:a="http://schemas.openxmlformats.org/drawingml/2006/main" xmlns:pic="http://schemas.openxmlformats.org/drawingml/2006/picture">
            <wp:extent cx="9000000" cy="3895297"/>
            <wp:docPr id="15" name="Picture 15"/>
            <wp:cNvGraphicFramePr>
              <a:graphicFrameLocks noChangeAspect="1"/>
            </wp:cNvGraphicFramePr>
            <a:graphic>
              <a:graphicData uri="http://schemas.openxmlformats.org/drawingml/2006/picture">
                <pic:pic>
                  <pic:nvPicPr>
                    <pic:cNvPr id="0" name="C4-CU02.png"/>
                    <pic:cNvPicPr/>
                  </pic:nvPicPr>
                  <pic:blipFill>
                    <a:blip r:embed="rId39"/>
                    <a:stretch>
                      <a:fillRect/>
                    </a:stretch>
                  </pic:blipFill>
                  <pic:spPr>
                    <a:xfrm>
                      <a:off x="0" y="0"/>
                      <a:ext cx="9000000" cy="3895297"/>
                    </a:xfrm>
                    <a:prstGeom prst="rect"/>
                  </pic:spPr>
                </pic:pic>
              </a:graphicData>
            </a:graphic>
          </wp:inline>
        </w:drawing>
      </w:r>
    </w:p>
    <w:p>
      <w:pPr>
        <w:jc w:val="center"/>
      </w:pPr>
      <w:r>
        <w:rPr>
          <w:i/>
          <w:sz w:val="18"/>
        </w:rPr>
        <w:t>Figura 15. Vista dinámica C4 de CU-02 entre componentes.</w:t>
      </w:r>
    </w:p>
    <w:p>
      <w:pPr>
        <w:sectPr>
          <w:headerReference w:type="default" r:id="rId35"/>
          <w:footerReference w:type="default" r:id="rId36"/>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7316071"/>
            <wp:docPr id="16" name="Picture 16"/>
            <wp:cNvGraphicFramePr>
              <a:graphicFrameLocks noChangeAspect="1"/>
            </wp:cNvGraphicFramePr>
            <a:graphic>
              <a:graphicData uri="http://schemas.openxmlformats.org/drawingml/2006/picture">
                <pic:pic>
                  <pic:nvPicPr>
                    <pic:cNvPr id="0" name="CU-02-actividades.png"/>
                    <pic:cNvPicPr/>
                  </pic:nvPicPr>
                  <pic:blipFill>
                    <a:blip r:embed="rId42"/>
                    <a:stretch>
                      <a:fillRect/>
                    </a:stretch>
                  </pic:blipFill>
                  <pic:spPr>
                    <a:xfrm>
                      <a:off x="0" y="0"/>
                      <a:ext cx="5760000" cy="7316071"/>
                    </a:xfrm>
                    <a:prstGeom prst="rect"/>
                  </pic:spPr>
                </pic:pic>
              </a:graphicData>
            </a:graphic>
          </wp:inline>
        </w:drawing>
      </w:r>
    </w:p>
    <w:p>
      <w:pPr>
        <w:jc w:val="center"/>
      </w:pPr>
      <w:r>
        <w:rPr>
          <w:i/>
          <w:sz w:val="18"/>
        </w:rPr>
        <w:t>Figura 16. Actividades del caso de uso CU-02, con sus caminos alternativos y de excepción.</w:t>
      </w:r>
    </w:p>
    <w:p>
      <w:pPr>
        <w:spacing w:after="120"/>
      </w:pPr>
      <w:r>
        <w:rPr>
          <w:b w:val="0"/>
        </w:rPr>
        <w:t>Estados de VersionPresupuesto: este caso de uso dispara «crear en Propuesta». Para no repetir la figura, la máquina de estados completa se presenta en CU-03 (Figura 23).</w:t>
      </w:r>
    </w:p>
    <w:p>
      <w:pPr>
        <w:pStyle w:val="Heading2"/>
      </w:pPr>
      <w:r>
        <w:t>Caso de Uso CU-03 Confirmar estructura y activar versión vigente</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5714012"/>
            <wp:docPr id="17" name="Picture 17"/>
            <wp:cNvGraphicFramePr>
              <a:graphicFrameLocks noChangeAspect="1"/>
            </wp:cNvGraphicFramePr>
            <a:graphic>
              <a:graphicData uri="http://schemas.openxmlformats.org/drawingml/2006/picture">
                <pic:pic>
                  <pic:nvPicPr>
                    <pic:cNvPr id="0" name="C4-CU03-contexto.png"/>
                    <pic:cNvPicPr/>
                  </pic:nvPicPr>
                  <pic:blipFill>
                    <a:blip r:embed="rId43"/>
                    <a:stretch>
                      <a:fillRect/>
                    </a:stretch>
                  </pic:blipFill>
                  <pic:spPr>
                    <a:xfrm>
                      <a:off x="0" y="0"/>
                      <a:ext cx="5760000" cy="5714012"/>
                    </a:xfrm>
                    <a:prstGeom prst="rect"/>
                  </pic:spPr>
                </pic:pic>
              </a:graphicData>
            </a:graphic>
          </wp:inline>
        </w:drawing>
      </w:r>
    </w:p>
    <w:p>
      <w:pPr>
        <w:jc w:val="center"/>
      </w:pPr>
      <w:r>
        <w:rPr>
          <w:i/>
          <w:sz w:val="18"/>
        </w:rPr>
        <w:t>Figura 17. Contexto C4 del caso de uso CU-03.</w:t>
      </w:r>
    </w:p>
    <w:p>
      <w:pPr>
        <w:jc w:val="center"/>
      </w:pPr>
      <w:r>
        <w:drawing>
          <wp:inline xmlns:a="http://schemas.openxmlformats.org/drawingml/2006/main" xmlns:pic="http://schemas.openxmlformats.org/drawingml/2006/picture">
            <wp:extent cx="5760000" cy="10262687"/>
            <wp:docPr id="18" name="Picture 18"/>
            <wp:cNvGraphicFramePr>
              <a:graphicFrameLocks noChangeAspect="1"/>
            </wp:cNvGraphicFramePr>
            <a:graphic>
              <a:graphicData uri="http://schemas.openxmlformats.org/drawingml/2006/picture">
                <pic:pic>
                  <pic:nvPicPr>
                    <pic:cNvPr id="0" name="C4-CU03-contenedores.png"/>
                    <pic:cNvPicPr/>
                  </pic:nvPicPr>
                  <pic:blipFill>
                    <a:blip r:embed="rId44"/>
                    <a:stretch>
                      <a:fillRect/>
                    </a:stretch>
                  </pic:blipFill>
                  <pic:spPr>
                    <a:xfrm>
                      <a:off x="0" y="0"/>
                      <a:ext cx="5760000" cy="10262687"/>
                    </a:xfrm>
                    <a:prstGeom prst="rect"/>
                  </pic:spPr>
                </pic:pic>
              </a:graphicData>
            </a:graphic>
          </wp:inline>
        </w:drawing>
      </w:r>
    </w:p>
    <w:p>
      <w:pPr>
        <w:jc w:val="center"/>
      </w:pPr>
      <w:r>
        <w:rPr>
          <w:i/>
          <w:sz w:val="18"/>
        </w:rPr>
        <w:t>Figura 18. Contenedores C4 que intervienen en CU-03.</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CU-03 Confirmar estructura y activar versión vigente</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Administrador revisa la estructura de una versión de presupuesto en estado Propuesta (rubros, unidades y agrupaciones), la confirma y la activa como versión vigente de la obra, o la descarta. Al activarla, la versión vigente anterior queda Reemplazada y consultable.</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RF-05, RNF-01,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Administrador</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Existe una versión de presupuesto en estado Propuesta, registrada en CU-02.</w:t>
            </w:r>
            <w:r>
              <w:rPr>
                <w:rFonts w:ascii="Liberation Serif" w:hAnsi="Liberation Serif"/>
                <w:b w:val="0"/>
                <w:sz w:val="19"/>
              </w:rPr>
              <w:br/>
              <w:t>· El actor tiene rol admin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La versión queda Vigente con su fecha de activación, o Descartada si el actor no confirma su estructura.</w:t>
            </w:r>
            <w:r>
              <w:rPr>
                <w:rFonts w:ascii="Liberation Serif" w:hAnsi="Liberation Serif"/>
                <w:b w:val="0"/>
                <w:sz w:val="19"/>
              </w:rPr>
              <w:br/>
              <w:t>· La versión vigente anterior, si existía, queda Reemplazada y consultable sin alteración.</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Selecciona la obra y abre la versión en estado Propuesta.</w:t>
            </w:r>
          </w:p>
        </w:tc>
        <w:tc>
          <w:tcPr>
            <w:tcW w:type="dxa" w:w="2494"/>
            <w:gridSpan w:val="2"/>
          </w:tcPr>
          <w:p>
            <w:pPr>
              <w:spacing w:after="40"/>
            </w:pPr>
            <w:r/>
            <w:r>
              <w:rPr>
                <w:rFonts w:ascii="Liberation Serif" w:hAnsi="Liberation Serif"/>
                <w:b w:val="0"/>
                <w:sz w:val="19"/>
              </w:rPr>
              <w:t>Presenta rubros, subrubros e ítems con sus unidades y agrupaciones, junto con el informe de importación.</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Revisa y confirma rubros, unidades y agrupaciones.</w:t>
            </w:r>
          </w:p>
        </w:tc>
        <w:tc>
          <w:tcPr>
            <w:tcW w:type="dxa" w:w="2494"/>
            <w:gridSpan w:val="2"/>
          </w:tcPr>
          <w:p>
            <w:pPr>
              <w:spacing w:after="40"/>
            </w:pPr>
            <w:r/>
            <w:r>
              <w:rPr>
                <w:rFonts w:ascii="Liberation Serif" w:hAnsi="Liberation Serif"/>
                <w:b w:val="0"/>
                <w:sz w:val="19"/>
              </w:rPr>
              <w:t>Registra la confirmación de la estructura de la versión.</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Solicita activar la versión.</w:t>
            </w:r>
          </w:p>
        </w:tc>
        <w:tc>
          <w:tcPr>
            <w:tcW w:type="dxa" w:w="2494"/>
            <w:gridSpan w:val="2"/>
          </w:tcPr>
          <w:p>
            <w:pPr>
              <w:spacing w:after="40"/>
            </w:pPr>
            <w:r/>
            <w:r>
              <w:rPr>
                <w:rFonts w:ascii="Liberation Serif" w:hAnsi="Liberation Serif"/>
                <w:b w:val="0"/>
                <w:sz w:val="19"/>
              </w:rPr>
              <w:t>Deja la versión Vigente con su fecha de activación y pasa a Reemplazada la versión vigente anterior, en una sola operación.</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1, RF-05). La estructura no se confirma: el actor descarta la versión; el sistema la deja Descartada y la versión vigente no cambia.</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(RNF-01). El actor no tiene rol admin vigente sobre la obra: el sistema deniega la activación.</w:t>
            </w:r>
            <w:r>
              <w:rPr>
                <w:rFonts w:ascii="Liberation Serif" w:hAnsi="Liberation Serif"/>
                <w:b w:val="0"/>
                <w:sz w:val="19"/>
              </w:rPr>
              <w:br/>
              <w:t>E2. Operación interrumpida: la versión conserva el estado Propuesta y la versión vigente anterior sigue vigente.</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7005517"/>
            <wp:docPr id="19" name="Picture 19"/>
            <wp:cNvGraphicFramePr>
              <a:graphicFrameLocks noChangeAspect="1"/>
            </wp:cNvGraphicFramePr>
            <a:graphic>
              <a:graphicData uri="http://schemas.openxmlformats.org/drawingml/2006/picture">
                <pic:pic>
                  <pic:nvPicPr>
                    <pic:cNvPr id="0" name="CU-03-clases.png"/>
                    <pic:cNvPicPr/>
                  </pic:nvPicPr>
                  <pic:blipFill>
                    <a:blip r:embed="rId45"/>
                    <a:stretch>
                      <a:fillRect/>
                    </a:stretch>
                  </pic:blipFill>
                  <pic:spPr>
                    <a:xfrm>
                      <a:off x="0" y="0"/>
                      <a:ext cx="5760000" cy="7005517"/>
                    </a:xfrm>
                    <a:prstGeom prst="rect"/>
                  </pic:spPr>
                </pic:pic>
              </a:graphicData>
            </a:graphic>
          </wp:inline>
        </w:drawing>
      </w:r>
    </w:p>
    <w:p>
      <w:pPr>
        <w:jc w:val="center"/>
      </w:pPr>
      <w:r>
        <w:rPr>
          <w:i/>
          <w:sz w:val="18"/>
        </w:rPr>
        <w:t>Figura 19. Clases del caso de uso CU-03.</w:t>
      </w:r>
    </w:p>
    <w:p>
      <w:pPr>
        <w:sectPr>
          <w:headerReference w:type="default" r:id="rId40"/>
          <w:footerReference w:type="default" r:id="rId41"/>
          <w:pgSz w:w="11906" w:h="16838"/>
          <w:pgMar w:top="1247" w:right="1417" w:bottom="1247" w:left="1417"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7756271" cy="4788000"/>
            <wp:docPr id="20" name="Picture 20"/>
            <wp:cNvGraphicFramePr>
              <a:graphicFrameLocks noChangeAspect="1"/>
            </wp:cNvGraphicFramePr>
            <a:graphic>
              <a:graphicData uri="http://schemas.openxmlformats.org/drawingml/2006/picture">
                <pic:pic>
                  <pic:nvPicPr>
                    <pic:cNvPr id="0" name="CU-03-secuencia.png"/>
                    <pic:cNvPicPr/>
                  </pic:nvPicPr>
                  <pic:blipFill>
                    <a:blip r:embed="rId48"/>
                    <a:stretch>
                      <a:fillRect/>
                    </a:stretch>
                  </pic:blipFill>
                  <pic:spPr>
                    <a:xfrm>
                      <a:off x="0" y="0"/>
                      <a:ext cx="7756271" cy="4788000"/>
                    </a:xfrm>
                    <a:prstGeom prst="rect"/>
                  </pic:spPr>
                </pic:pic>
              </a:graphicData>
            </a:graphic>
          </wp:inline>
        </w:drawing>
      </w:r>
    </w:p>
    <w:p>
      <w:pPr>
        <w:jc w:val="center"/>
      </w:pPr>
      <w:r>
        <w:rPr>
          <w:i/>
          <w:sz w:val="18"/>
        </w:rPr>
        <w:t>Figura 20. Interacción del caso de uso CU-03.</w:t>
      </w:r>
    </w:p>
    <w:p>
      <w:pPr>
        <w:jc w:val="center"/>
      </w:pPr>
      <w:r>
        <w:drawing>
          <wp:inline xmlns:a="http://schemas.openxmlformats.org/drawingml/2006/main" xmlns:pic="http://schemas.openxmlformats.org/drawingml/2006/picture">
            <wp:extent cx="9000000" cy="3155196"/>
            <wp:docPr id="21" name="Picture 21"/>
            <wp:cNvGraphicFramePr>
              <a:graphicFrameLocks noChangeAspect="1"/>
            </wp:cNvGraphicFramePr>
            <a:graphic>
              <a:graphicData uri="http://schemas.openxmlformats.org/drawingml/2006/picture">
                <pic:pic>
                  <pic:nvPicPr>
                    <pic:cNvPr id="0" name="C4-CU03.png"/>
                    <pic:cNvPicPr/>
                  </pic:nvPicPr>
                  <pic:blipFill>
                    <a:blip r:embed="rId49"/>
                    <a:stretch>
                      <a:fillRect/>
                    </a:stretch>
                  </pic:blipFill>
                  <pic:spPr>
                    <a:xfrm>
                      <a:off x="0" y="0"/>
                      <a:ext cx="9000000" cy="3155196"/>
                    </a:xfrm>
                    <a:prstGeom prst="rect"/>
                  </pic:spPr>
                </pic:pic>
              </a:graphicData>
            </a:graphic>
          </wp:inline>
        </w:drawing>
      </w:r>
    </w:p>
    <w:p>
      <w:pPr>
        <w:jc w:val="center"/>
      </w:pPr>
      <w:r>
        <w:rPr>
          <w:i/>
          <w:sz w:val="18"/>
        </w:rPr>
        <w:t>Figura 21. Vista dinámica C4 de CU-03 entre componentes.</w:t>
      </w:r>
    </w:p>
    <w:p>
      <w:pPr>
        <w:sectPr>
          <w:headerReference w:type="default" r:id="rId46"/>
          <w:footerReference w:type="default" r:id="rId47"/>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4242934"/>
            <wp:docPr id="22" name="Picture 22"/>
            <wp:cNvGraphicFramePr>
              <a:graphicFrameLocks noChangeAspect="1"/>
            </wp:cNvGraphicFramePr>
            <a:graphic>
              <a:graphicData uri="http://schemas.openxmlformats.org/drawingml/2006/picture">
                <pic:pic>
                  <pic:nvPicPr>
                    <pic:cNvPr id="0" name="CU-03-actividades.png"/>
                    <pic:cNvPicPr/>
                  </pic:nvPicPr>
                  <pic:blipFill>
                    <a:blip r:embed="rId52"/>
                    <a:stretch>
                      <a:fillRect/>
                    </a:stretch>
                  </pic:blipFill>
                  <pic:spPr>
                    <a:xfrm>
                      <a:off x="0" y="0"/>
                      <a:ext cx="5760000" cy="4242934"/>
                    </a:xfrm>
                    <a:prstGeom prst="rect"/>
                  </pic:spPr>
                </pic:pic>
              </a:graphicData>
            </a:graphic>
          </wp:inline>
        </w:drawing>
      </w:r>
    </w:p>
    <w:p>
      <w:pPr>
        <w:jc w:val="center"/>
      </w:pPr>
      <w:r>
        <w:rPr>
          <w:i/>
          <w:sz w:val="18"/>
        </w:rPr>
        <w:t>Figura 22. Actividades del caso de uso CU-03, con sus caminos alternativos y de excepción.</w:t>
      </w:r>
    </w:p>
    <w:p>
      <w:pPr>
        <w:jc w:val="center"/>
      </w:pPr>
      <w:r>
        <w:drawing>
          <wp:inline xmlns:a="http://schemas.openxmlformats.org/drawingml/2006/main" xmlns:pic="http://schemas.openxmlformats.org/drawingml/2006/picture">
            <wp:extent cx="5760000" cy="3955256"/>
            <wp:docPr id="23" name="Picture 23"/>
            <wp:cNvGraphicFramePr>
              <a:graphicFrameLocks noChangeAspect="1"/>
            </wp:cNvGraphicFramePr>
            <a:graphic>
              <a:graphicData uri="http://schemas.openxmlformats.org/drawingml/2006/picture">
                <pic:pic>
                  <pic:nvPicPr>
                    <pic:cNvPr id="0" name="estado-VersionPresupuesto.png"/>
                    <pic:cNvPicPr/>
                  </pic:nvPicPr>
                  <pic:blipFill>
                    <a:blip r:embed="rId53"/>
                    <a:stretch>
                      <a:fillRect/>
                    </a:stretch>
                  </pic:blipFill>
                  <pic:spPr>
                    <a:xfrm>
                      <a:off x="0" y="0"/>
                      <a:ext cx="5760000" cy="3955256"/>
                    </a:xfrm>
                    <a:prstGeom prst="rect"/>
                  </pic:spPr>
                </pic:pic>
              </a:graphicData>
            </a:graphic>
          </wp:inline>
        </w:drawing>
      </w:r>
    </w:p>
    <w:p>
      <w:pPr>
        <w:jc w:val="center"/>
      </w:pPr>
      <w:r>
        <w:rPr>
          <w:i/>
          <w:sz w:val="18"/>
        </w:rPr>
        <w:t>Figura 23. Estados de VersionPresupuesto.</w:t>
      </w:r>
    </w:p>
    <w:p>
      <w:pPr>
        <w:pStyle w:val="Heading2"/>
      </w:pPr>
      <w:r>
        <w:t>Caso de Uso CU-04 Registrar medición oficial</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9523636"/>
            <wp:docPr id="24" name="Picture 24"/>
            <wp:cNvGraphicFramePr>
              <a:graphicFrameLocks noChangeAspect="1"/>
            </wp:cNvGraphicFramePr>
            <a:graphic>
              <a:graphicData uri="http://schemas.openxmlformats.org/drawingml/2006/picture">
                <pic:pic>
                  <pic:nvPicPr>
                    <pic:cNvPr id="0" name="C4-CU04-contexto.png"/>
                    <pic:cNvPicPr/>
                  </pic:nvPicPr>
                  <pic:blipFill>
                    <a:blip r:embed="rId54"/>
                    <a:stretch>
                      <a:fillRect/>
                    </a:stretch>
                  </pic:blipFill>
                  <pic:spPr>
                    <a:xfrm>
                      <a:off x="0" y="0"/>
                      <a:ext cx="5760000" cy="9523636"/>
                    </a:xfrm>
                    <a:prstGeom prst="rect"/>
                  </pic:spPr>
                </pic:pic>
              </a:graphicData>
            </a:graphic>
          </wp:inline>
        </w:drawing>
      </w:r>
    </w:p>
    <w:p>
      <w:pPr>
        <w:jc w:val="center"/>
      </w:pPr>
      <w:r>
        <w:rPr>
          <w:i/>
          <w:sz w:val="18"/>
        </w:rPr>
        <w:t>Figura 24. Contexto C4 del caso de uso CU-04.</w:t>
      </w:r>
    </w:p>
    <w:p>
      <w:pPr>
        <w:jc w:val="center"/>
      </w:pPr>
      <w:r>
        <w:drawing>
          <wp:inline xmlns:a="http://schemas.openxmlformats.org/drawingml/2006/main" xmlns:pic="http://schemas.openxmlformats.org/drawingml/2006/picture">
            <wp:extent cx="5760000" cy="12584874"/>
            <wp:docPr id="25" name="Picture 25"/>
            <wp:cNvGraphicFramePr>
              <a:graphicFrameLocks noChangeAspect="1"/>
            </wp:cNvGraphicFramePr>
            <a:graphic>
              <a:graphicData uri="http://schemas.openxmlformats.org/drawingml/2006/picture">
                <pic:pic>
                  <pic:nvPicPr>
                    <pic:cNvPr id="0" name="C4-CU04-contenedores.png"/>
                    <pic:cNvPicPr/>
                  </pic:nvPicPr>
                  <pic:blipFill>
                    <a:blip r:embed="rId55"/>
                    <a:stretch>
                      <a:fillRect/>
                    </a:stretch>
                  </pic:blipFill>
                  <pic:spPr>
                    <a:xfrm>
                      <a:off x="0" y="0"/>
                      <a:ext cx="5760000" cy="12584874"/>
                    </a:xfrm>
                    <a:prstGeom prst="rect"/>
                  </pic:spPr>
                </pic:pic>
              </a:graphicData>
            </a:graphic>
          </wp:inline>
        </w:drawing>
      </w:r>
    </w:p>
    <w:p>
      <w:pPr>
        <w:jc w:val="center"/>
      </w:pPr>
      <w:r>
        <w:rPr>
          <w:i/>
          <w:sz w:val="18"/>
        </w:rPr>
        <w:t>Figura 25. Contenedores C4 que intervienen en CU-04.</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CU-04 Registrar medición oficial</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Ingeniero de Obra registra, en un período abierto, la medición oficial de un ítem del presupuesto vigente con su cantidad, unidad, ejecutor propio o subcontratado y evidencia. El trabajo de un subcontratista también lo mide en terreno y lo registra el Ingeniero, con ejecutor subcontratado, en la misma y única medición del ítem y período.</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RF-07, RF-10, RNF-01, RNF-04, RNF-09, RNF-10,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Ingeniero de Obra</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La obra tiene una versión de presupuesto vigente.</w:t>
            </w:r>
            <w:r>
              <w:rPr>
                <w:rFonts w:ascii="Liberation Serif" w:hAnsi="Liberation Serif"/>
                <w:b w:val="0"/>
                <w:sz w:val="19"/>
              </w:rPr>
              <w:br/>
              <w:t>· El período de medición está Abierto.</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Queda una única medición oficial del ítem en el período, en estado Registrada, con cantidad, unidad, ejecutor, evidencia, actor, fecha y versión de presupuesto.</w:t>
            </w:r>
            <w:r>
              <w:rPr>
                <w:rFonts w:ascii="Liberation Serif" w:hAnsi="Liberation Serif"/>
                <w:b w:val="0"/>
                <w:sz w:val="19"/>
              </w:rPr>
              <w:br/>
              <w:t>· El acumulado físico del ítem no cambia hasta que la medición se apruebe en CU-05.</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Selecciona la obra, el período abierto y el ítem a medir.</w:t>
            </w:r>
          </w:p>
        </w:tc>
        <w:tc>
          <w:tcPr>
            <w:tcW w:type="dxa" w:w="2494"/>
            <w:gridSpan w:val="2"/>
          </w:tcPr>
          <w:p>
            <w:pPr>
              <w:spacing w:after="40"/>
            </w:pPr>
            <w:r/>
            <w:r>
              <w:rPr>
                <w:rFonts w:ascii="Liberation Serif" w:hAnsi="Liberation Serif"/>
                <w:b w:val="0"/>
                <w:sz w:val="19"/>
              </w:rPr>
              <w:t>Presenta el formulario de medición, apto para teléfono, con la unidad del ítem, la cantidad aprobada acumulada y el saldo de la versión vigente.</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Ingresa la cantidad medida, indica si el ejecutor es propio o subcontratado y adjunta la evidencia.</w:t>
            </w:r>
          </w:p>
        </w:tc>
        <w:tc>
          <w:tcPr>
            <w:tcW w:type="dxa" w:w="2494"/>
            <w:gridSpan w:val="2"/>
          </w:tcPr>
          <w:p>
            <w:pPr>
              <w:spacing w:after="40"/>
            </w:pPr>
            <w:r/>
            <w:r>
              <w:rPr>
                <w:rFonts w:ascii="Liberation Serif" w:hAnsi="Liberation Serif"/>
                <w:b w:val="0"/>
                <w:sz w:val="19"/>
              </w:rPr>
              <w:t>Identifica los campos requeridos y comprueba que no exista otra medición del mismo ítem en el período.</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Confirma el registro.</w:t>
            </w:r>
          </w:p>
        </w:tc>
        <w:tc>
          <w:tcPr>
            <w:tcW w:type="dxa" w:w="2494"/>
            <w:gridSpan w:val="2"/>
          </w:tcPr>
          <w:p>
            <w:pPr>
              <w:spacing w:after="40"/>
            </w:pPr>
            <w:r/>
            <w:r>
              <w:rPr>
                <w:rFonts w:ascii="Liberation Serif" w:hAnsi="Liberation Serif"/>
                <w:b w:val="0"/>
                <w:sz w:val="19"/>
              </w:rPr>
              <w:t>Conserva la evidencia y registra la medición en estado Registrada con actor, fecha y versión de presupuesto, pendiente de aprobación.</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2, RF-10). Medición rechazada del ítem en el período: el sistema la presenta para corregir su cantidad o su evidencia y reenviarla, sin crear una medición nueva.</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2, RF-10). El ítem ya tiene una medición registrada o aprobada en el período: el sistema no crea otra, para no contabilizar dos veces el mismo trabajo físico.</w:t>
            </w:r>
            <w:r>
              <w:rPr>
                <w:rFonts w:ascii="Liberation Serif" w:hAnsi="Liberation Serif"/>
                <w:b w:val="0"/>
                <w:sz w:val="19"/>
              </w:rPr>
              <w:br/>
              <w:t>E2 (paso 2, RNF-09). Dato requerido faltante o inválido: el sistema señala el campo con un mensaje identificable y no registra la medición hasta que se corrija.</w:t>
            </w:r>
            <w:r>
              <w:rPr>
                <w:rFonts w:ascii="Liberation Serif" w:hAnsi="Liberation Serif"/>
                <w:b w:val="0"/>
                <w:sz w:val="19"/>
              </w:rPr>
              <w:br/>
              <w:t>E3 (RNF-01). El actor no tiene rol vigente sobre la obra: el sistema deniega el registro.</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6495873"/>
            <wp:docPr id="26" name="Picture 26"/>
            <wp:cNvGraphicFramePr>
              <a:graphicFrameLocks noChangeAspect="1"/>
            </wp:cNvGraphicFramePr>
            <a:graphic>
              <a:graphicData uri="http://schemas.openxmlformats.org/drawingml/2006/picture">
                <pic:pic>
                  <pic:nvPicPr>
                    <pic:cNvPr id="0" name="CU-04-clases.png"/>
                    <pic:cNvPicPr/>
                  </pic:nvPicPr>
                  <pic:blipFill>
                    <a:blip r:embed="rId56"/>
                    <a:stretch>
                      <a:fillRect/>
                    </a:stretch>
                  </pic:blipFill>
                  <pic:spPr>
                    <a:xfrm>
                      <a:off x="0" y="0"/>
                      <a:ext cx="5760000" cy="6495873"/>
                    </a:xfrm>
                    <a:prstGeom prst="rect"/>
                  </pic:spPr>
                </pic:pic>
              </a:graphicData>
            </a:graphic>
          </wp:inline>
        </w:drawing>
      </w:r>
    </w:p>
    <w:p>
      <w:pPr>
        <w:jc w:val="center"/>
      </w:pPr>
      <w:r>
        <w:rPr>
          <w:i/>
          <w:sz w:val="18"/>
        </w:rPr>
        <w:t>Figura 26. Clases del caso de uso CU-04.</w:t>
      </w:r>
    </w:p>
    <w:p>
      <w:pPr>
        <w:sectPr>
          <w:headerReference w:type="default" r:id="rId50"/>
          <w:footerReference w:type="default" r:id="rId51"/>
          <w:pgSz w:w="11906" w:h="16838"/>
          <w:pgMar w:top="1247" w:right="1417" w:bottom="1247" w:left="1417"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8511659" cy="4788000"/>
            <wp:docPr id="27" name="Picture 27"/>
            <wp:cNvGraphicFramePr>
              <a:graphicFrameLocks noChangeAspect="1"/>
            </wp:cNvGraphicFramePr>
            <a:graphic>
              <a:graphicData uri="http://schemas.openxmlformats.org/drawingml/2006/picture">
                <pic:pic>
                  <pic:nvPicPr>
                    <pic:cNvPr id="0" name="CU-04-secuencia.png"/>
                    <pic:cNvPicPr/>
                  </pic:nvPicPr>
                  <pic:blipFill>
                    <a:blip r:embed="rId59"/>
                    <a:stretch>
                      <a:fillRect/>
                    </a:stretch>
                  </pic:blipFill>
                  <pic:spPr>
                    <a:xfrm>
                      <a:off x="0" y="0"/>
                      <a:ext cx="8511659" cy="4788000"/>
                    </a:xfrm>
                    <a:prstGeom prst="rect"/>
                  </pic:spPr>
                </pic:pic>
              </a:graphicData>
            </a:graphic>
          </wp:inline>
        </w:drawing>
      </w:r>
    </w:p>
    <w:p>
      <w:pPr>
        <w:jc w:val="center"/>
      </w:pPr>
      <w:r>
        <w:rPr>
          <w:i/>
          <w:sz w:val="18"/>
        </w:rPr>
        <w:t>Figura 27. Interacción del caso de uso CU-04.</w:t>
      </w:r>
    </w:p>
    <w:p>
      <w:pPr>
        <w:jc w:val="center"/>
      </w:pPr>
      <w:r>
        <w:drawing>
          <wp:inline xmlns:a="http://schemas.openxmlformats.org/drawingml/2006/main" xmlns:pic="http://schemas.openxmlformats.org/drawingml/2006/picture">
            <wp:extent cx="9000000" cy="3560389"/>
            <wp:docPr id="28" name="Picture 28"/>
            <wp:cNvGraphicFramePr>
              <a:graphicFrameLocks noChangeAspect="1"/>
            </wp:cNvGraphicFramePr>
            <a:graphic>
              <a:graphicData uri="http://schemas.openxmlformats.org/drawingml/2006/picture">
                <pic:pic>
                  <pic:nvPicPr>
                    <pic:cNvPr id="0" name="C4-CU04.png"/>
                    <pic:cNvPicPr/>
                  </pic:nvPicPr>
                  <pic:blipFill>
                    <a:blip r:embed="rId60"/>
                    <a:stretch>
                      <a:fillRect/>
                    </a:stretch>
                  </pic:blipFill>
                  <pic:spPr>
                    <a:xfrm>
                      <a:off x="0" y="0"/>
                      <a:ext cx="9000000" cy="3560389"/>
                    </a:xfrm>
                    <a:prstGeom prst="rect"/>
                  </pic:spPr>
                </pic:pic>
              </a:graphicData>
            </a:graphic>
          </wp:inline>
        </w:drawing>
      </w:r>
    </w:p>
    <w:p>
      <w:pPr>
        <w:jc w:val="center"/>
      </w:pPr>
      <w:r>
        <w:rPr>
          <w:i/>
          <w:sz w:val="18"/>
        </w:rPr>
        <w:t>Figura 28. Vista dinámica C4 de CU-04 entre componentes.</w:t>
      </w:r>
    </w:p>
    <w:p>
      <w:pPr>
        <w:sectPr>
          <w:headerReference w:type="default" r:id="rId57"/>
          <w:footerReference w:type="default" r:id="rId58"/>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6790244"/>
            <wp:docPr id="29" name="Picture 29"/>
            <wp:cNvGraphicFramePr>
              <a:graphicFrameLocks noChangeAspect="1"/>
            </wp:cNvGraphicFramePr>
            <a:graphic>
              <a:graphicData uri="http://schemas.openxmlformats.org/drawingml/2006/picture">
                <pic:pic>
                  <pic:nvPicPr>
                    <pic:cNvPr id="0" name="CU-04-actividades.png"/>
                    <pic:cNvPicPr/>
                  </pic:nvPicPr>
                  <pic:blipFill>
                    <a:blip r:embed="rId63"/>
                    <a:stretch>
                      <a:fillRect/>
                    </a:stretch>
                  </pic:blipFill>
                  <pic:spPr>
                    <a:xfrm>
                      <a:off x="0" y="0"/>
                      <a:ext cx="5760000" cy="6790244"/>
                    </a:xfrm>
                    <a:prstGeom prst="rect"/>
                  </pic:spPr>
                </pic:pic>
              </a:graphicData>
            </a:graphic>
          </wp:inline>
        </w:drawing>
      </w:r>
    </w:p>
    <w:p>
      <w:pPr>
        <w:jc w:val="center"/>
      </w:pPr>
      <w:r>
        <w:rPr>
          <w:i/>
          <w:sz w:val="18"/>
        </w:rPr>
        <w:t>Figura 29. Actividades del caso de uso CU-04, con sus caminos alternativos y de excepción.</w:t>
      </w:r>
    </w:p>
    <w:p>
      <w:pPr>
        <w:spacing w:after="120"/>
      </w:pPr>
      <w:r>
        <w:rPr>
          <w:b w:val="0"/>
        </w:rPr>
        <w:t>Estados de MedicionOficial: este caso de uso dispara «crear en Registrada», «corregir y reenviar». Para no repetir la figura, la máquina de estados completa se presenta en CU-05 (Figura 36).</w:t>
      </w:r>
    </w:p>
    <w:p>
      <w:pPr>
        <w:pStyle w:val="Heading2"/>
      </w:pPr>
      <w:r>
        <w:t>Caso de Uso CU-05 Aprobar o rechazar medición oficial</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6735812"/>
            <wp:docPr id="30" name="Picture 30"/>
            <wp:cNvGraphicFramePr>
              <a:graphicFrameLocks noChangeAspect="1"/>
            </wp:cNvGraphicFramePr>
            <a:graphic>
              <a:graphicData uri="http://schemas.openxmlformats.org/drawingml/2006/picture">
                <pic:pic>
                  <pic:nvPicPr>
                    <pic:cNvPr id="0" name="C4-CU05-contexto.png"/>
                    <pic:cNvPicPr/>
                  </pic:nvPicPr>
                  <pic:blipFill>
                    <a:blip r:embed="rId64"/>
                    <a:stretch>
                      <a:fillRect/>
                    </a:stretch>
                  </pic:blipFill>
                  <pic:spPr>
                    <a:xfrm>
                      <a:off x="0" y="0"/>
                      <a:ext cx="5760000" cy="6735812"/>
                    </a:xfrm>
                    <a:prstGeom prst="rect"/>
                  </pic:spPr>
                </pic:pic>
              </a:graphicData>
            </a:graphic>
          </wp:inline>
        </w:drawing>
      </w:r>
    </w:p>
    <w:p>
      <w:pPr>
        <w:jc w:val="center"/>
      </w:pPr>
      <w:r>
        <w:rPr>
          <w:i/>
          <w:sz w:val="18"/>
        </w:rPr>
        <w:t>Figura 30. Contexto C4 del caso de uso CU-05.</w:t>
      </w:r>
    </w:p>
    <w:p>
      <w:pPr>
        <w:jc w:val="center"/>
      </w:pPr>
      <w:r>
        <w:drawing>
          <wp:inline xmlns:a="http://schemas.openxmlformats.org/drawingml/2006/main" xmlns:pic="http://schemas.openxmlformats.org/drawingml/2006/picture">
            <wp:extent cx="5760000" cy="11958261"/>
            <wp:docPr id="31" name="Picture 31"/>
            <wp:cNvGraphicFramePr>
              <a:graphicFrameLocks noChangeAspect="1"/>
            </wp:cNvGraphicFramePr>
            <a:graphic>
              <a:graphicData uri="http://schemas.openxmlformats.org/drawingml/2006/picture">
                <pic:pic>
                  <pic:nvPicPr>
                    <pic:cNvPr id="0" name="C4-CU05-contenedores.png"/>
                    <pic:cNvPicPr/>
                  </pic:nvPicPr>
                  <pic:blipFill>
                    <a:blip r:embed="rId65"/>
                    <a:stretch>
                      <a:fillRect/>
                    </a:stretch>
                  </pic:blipFill>
                  <pic:spPr>
                    <a:xfrm>
                      <a:off x="0" y="0"/>
                      <a:ext cx="5760000" cy="11958261"/>
                    </a:xfrm>
                    <a:prstGeom prst="rect"/>
                  </pic:spPr>
                </pic:pic>
              </a:graphicData>
            </a:graphic>
          </wp:inline>
        </w:drawing>
      </w:r>
    </w:p>
    <w:p>
      <w:pPr>
        <w:jc w:val="center"/>
      </w:pPr>
      <w:r>
        <w:rPr>
          <w:i/>
          <w:sz w:val="18"/>
        </w:rPr>
        <w:t>Figura 31. Contenedores C4 que intervienen en CU-05.</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CU-05 Aprobar o rechazar medición oficial</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2026-06-01</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Scotover, Leandro</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2026-06-15</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Responsable Técnico revisa cada medición oficial registrada en el período, la contrasta con el saldo del presupuesto vigente y la aprueba o la rechaza. La cantidad cubierta por el saldo queda certificable; el exceso queda como propuesta pendiente hasta que un movimiento presupuestario aprobado lo cubra.</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RF-08, RF-09, RNF-01, RNF-04, RNF-10,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Responsable Técnico</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Existe al menos una medición oficial registrada en el período.</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Cada medición queda aprobada o rechazada, con decisión, actor, fecha y versión de presupuesto.</w:t>
            </w:r>
            <w:r>
              <w:rPr>
                <w:rFonts w:ascii="Liberation Serif" w:hAnsi="Liberation Serif"/>
                <w:b w:val="0"/>
                <w:sz w:val="19"/>
              </w:rPr>
              <w:br/>
              <w:t>· El acumulado físico del ítem se incrementa una sola vez por la cantidad aprobada.</w:t>
            </w:r>
            <w:r>
              <w:rPr>
                <w:rFonts w:ascii="Liberation Serif" w:hAnsi="Liberation Serif"/>
                <w:b w:val="0"/>
                <w:sz w:val="19"/>
              </w:rPr>
              <w:br/>
              <w:t>· La cantidad que excede el saldo queda registrada como propuesta pendiente y no es certificable.</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Selecciona la obra y el período a revisar.</w:t>
            </w:r>
          </w:p>
        </w:tc>
        <w:tc>
          <w:tcPr>
            <w:tcW w:type="dxa" w:w="2494"/>
            <w:gridSpan w:val="2"/>
          </w:tcPr>
          <w:p>
            <w:pPr>
              <w:spacing w:after="40"/>
            </w:pPr>
            <w:r/>
            <w:r>
              <w:rPr>
                <w:rFonts w:ascii="Liberation Serif" w:hAnsi="Liberation Serif"/>
                <w:b w:val="0"/>
                <w:sz w:val="19"/>
              </w:rPr>
              <w:t>Lista las mediciones registradas con su cantidad, unidad, ejecutor propio o subcontratado y evidencia adjunta.</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Abre una medición y revisa su evidencia.</w:t>
            </w:r>
          </w:p>
        </w:tc>
        <w:tc>
          <w:tcPr>
            <w:tcW w:type="dxa" w:w="2494"/>
            <w:gridSpan w:val="2"/>
          </w:tcPr>
          <w:p>
            <w:pPr>
              <w:spacing w:after="40"/>
            </w:pPr>
            <w:r/>
            <w:r>
              <w:rPr>
                <w:rFonts w:ascii="Liberation Serif" w:hAnsi="Liberation Serif"/>
                <w:b w:val="0"/>
                <w:sz w:val="19"/>
              </w:rPr>
              <w:t>Muestra la cantidad del período, las mediciones aprobadas acumuladas y el saldo del presupuesto vigente para ese ítem.</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Aprueba la medición.</w:t>
            </w:r>
          </w:p>
        </w:tc>
        <w:tc>
          <w:tcPr>
            <w:tcW w:type="dxa" w:w="2494"/>
            <w:gridSpan w:val="2"/>
          </w:tcPr>
          <w:p>
            <w:pPr>
              <w:spacing w:after="40"/>
            </w:pPr>
            <w:r/>
            <w:r>
              <w:rPr>
                <w:rFonts w:ascii="Liberation Serif" w:hAnsi="Liberation Serif"/>
                <w:b w:val="0"/>
                <w:sz w:val="19"/>
              </w:rPr>
              <w:t>Compara la cantidad medida con el saldo de la versión vigente y determina la cantidad certificable.</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Confirma la decisión.</w:t>
            </w:r>
          </w:p>
        </w:tc>
        <w:tc>
          <w:tcPr>
            <w:tcW w:type="dxa" w:w="2494"/>
            <w:gridSpan w:val="2"/>
          </w:tcPr>
          <w:p>
            <w:pPr>
              <w:spacing w:after="40"/>
            </w:pPr>
            <w:r/>
            <w:r>
              <w:rPr>
                <w:rFonts w:ascii="Liberation Serif" w:hAnsi="Liberation Serif"/>
                <w:b w:val="0"/>
                <w:sz w:val="19"/>
              </w:rPr>
              <w:t>Registra la medición como aprobada con decisión, actor, fecha y versión, e incrementa el acumulado físico una sola vez.</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Repite la revisión para las mediciones restantes del período.</w:t>
            </w:r>
          </w:p>
        </w:tc>
        <w:tc>
          <w:tcPr>
            <w:tcW w:type="dxa" w:w="2494"/>
            <w:gridSpan w:val="2"/>
          </w:tcPr>
          <w:p>
            <w:pPr>
              <w:spacing w:after="40"/>
            </w:pPr>
            <w:r/>
            <w:r>
              <w:rPr>
                <w:rFonts w:ascii="Liberation Serif" w:hAnsi="Liberation Serif"/>
                <w:b w:val="0"/>
                <w:sz w:val="19"/>
              </w:rPr>
              <w:t>Actualiza el estado del período y habilita su cierre cuando no quedan mediciones pendientes.</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3, RF-09). La cantidad supera el saldo del presupuesto vigente: el sistema aprueba solo la parte cubierta y registra el exceso como propuesta pendiente, que no integra la medición oficial certificable hasta que un movimiento aprobado la cubra. Punto de extensión: CU-11, donde el sobrecosto se clasifica como adenda, cubierta por un movimiento presupuestario, o por otra causa (retrabajo, atraso, fallo o cambio).</w:t>
            </w:r>
            <w:r>
              <w:rPr>
                <w:rFonts w:ascii="Liberation Serif" w:hAnsi="Liberation Serif"/>
                <w:b w:val="0"/>
                <w:sz w:val="19"/>
              </w:rPr>
              <w:br/>
              <w:t>A2 (paso 3, RF-08). Rechazo: el actor indica el motivo; el sistema registra la medición como rechazada con decisión, actor y fecha, y la devuelve al Ingeniero de Obra.</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(RNF-01). El actor carece de rol vigente sobre la obra: el sistema deniega la aprobación.</w:t>
            </w:r>
            <w:r>
              <w:rPr>
                <w:rFonts w:ascii="Liberation Serif" w:hAnsi="Liberation Serif"/>
                <w:b w:val="0"/>
                <w:sz w:val="19"/>
              </w:rPr>
              <w:br/>
              <w:t>E2. Operación interrumpida: la medición conserva íntegro su estado anterior y el período no queda parcialmente resuelto.</w:t>
            </w:r>
          </w:p>
        </w:tc>
      </w:tr>
    </w:tbl>
    <w:p>
      <w:pPr>
        <w:sectPr>
          <w:headerReference w:type="default" r:id="rId61"/>
          <w:footerReference w:type="default" r:id="rId62"/>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7025895" cy="4788000"/>
            <wp:docPr id="32" name="Picture 32"/>
            <wp:cNvGraphicFramePr>
              <a:graphicFrameLocks noChangeAspect="1"/>
            </wp:cNvGraphicFramePr>
            <a:graphic>
              <a:graphicData uri="http://schemas.openxmlformats.org/drawingml/2006/picture">
                <pic:pic>
                  <pic:nvPicPr>
                    <pic:cNvPr id="0" name="CU-05-clases.png"/>
                    <pic:cNvPicPr/>
                  </pic:nvPicPr>
                  <pic:blipFill>
                    <a:blip r:embed="rId68"/>
                    <a:stretch>
                      <a:fillRect/>
                    </a:stretch>
                  </pic:blipFill>
                  <pic:spPr>
                    <a:xfrm>
                      <a:off x="0" y="0"/>
                      <a:ext cx="7025895" cy="4788000"/>
                    </a:xfrm>
                    <a:prstGeom prst="rect"/>
                  </pic:spPr>
                </pic:pic>
              </a:graphicData>
            </a:graphic>
          </wp:inline>
        </w:drawing>
      </w:r>
    </w:p>
    <w:p>
      <w:pPr>
        <w:jc w:val="center"/>
      </w:pPr>
      <w:r>
        <w:rPr>
          <w:i/>
          <w:sz w:val="18"/>
        </w:rPr>
        <w:t>Figura 32. Clases del caso de uso CU-05.</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4615742"/>
            <wp:docPr id="33" name="Picture 33"/>
            <wp:cNvGraphicFramePr>
              <a:graphicFrameLocks noChangeAspect="1"/>
            </wp:cNvGraphicFramePr>
            <a:graphic>
              <a:graphicData uri="http://schemas.openxmlformats.org/drawingml/2006/picture">
                <pic:pic>
                  <pic:nvPicPr>
                    <pic:cNvPr id="0" name="CU-05-secuencia.png"/>
                    <pic:cNvPicPr/>
                  </pic:nvPicPr>
                  <pic:blipFill>
                    <a:blip r:embed="rId69"/>
                    <a:stretch>
                      <a:fillRect/>
                    </a:stretch>
                  </pic:blipFill>
                  <pic:spPr>
                    <a:xfrm>
                      <a:off x="0" y="0"/>
                      <a:ext cx="9000000" cy="4615742"/>
                    </a:xfrm>
                    <a:prstGeom prst="rect"/>
                  </pic:spPr>
                </pic:pic>
              </a:graphicData>
            </a:graphic>
          </wp:inline>
        </w:drawing>
      </w:r>
    </w:p>
    <w:p>
      <w:pPr>
        <w:jc w:val="center"/>
      </w:pPr>
      <w:r>
        <w:rPr>
          <w:i/>
          <w:sz w:val="18"/>
        </w:rPr>
        <w:t>Figura 33. Interacción del caso de uso CU-05.</w:t>
      </w:r>
    </w:p>
    <w:p>
      <w:pPr>
        <w:jc w:val="center"/>
      </w:pPr>
      <w:r>
        <w:drawing>
          <wp:inline xmlns:a="http://schemas.openxmlformats.org/drawingml/2006/main" xmlns:pic="http://schemas.openxmlformats.org/drawingml/2006/picture">
            <wp:extent cx="9000000" cy="3031373"/>
            <wp:docPr id="34" name="Picture 34"/>
            <wp:cNvGraphicFramePr>
              <a:graphicFrameLocks noChangeAspect="1"/>
            </wp:cNvGraphicFramePr>
            <a:graphic>
              <a:graphicData uri="http://schemas.openxmlformats.org/drawingml/2006/picture">
                <pic:pic>
                  <pic:nvPicPr>
                    <pic:cNvPr id="0" name="C4-CU05.png"/>
                    <pic:cNvPicPr/>
                  </pic:nvPicPr>
                  <pic:blipFill>
                    <a:blip r:embed="rId70"/>
                    <a:stretch>
                      <a:fillRect/>
                    </a:stretch>
                  </pic:blipFill>
                  <pic:spPr>
                    <a:xfrm>
                      <a:off x="0" y="0"/>
                      <a:ext cx="9000000" cy="3031373"/>
                    </a:xfrm>
                    <a:prstGeom prst="rect"/>
                  </pic:spPr>
                </pic:pic>
              </a:graphicData>
            </a:graphic>
          </wp:inline>
        </w:drawing>
      </w:r>
    </w:p>
    <w:p>
      <w:pPr>
        <w:jc w:val="center"/>
      </w:pPr>
      <w:r>
        <w:rPr>
          <w:i/>
          <w:sz w:val="18"/>
        </w:rPr>
        <w:t>Figura 34. Vista dinámica C4 de CU-05 entre componentes.</w:t>
      </w:r>
    </w:p>
    <w:p>
      <w:pPr>
        <w:sectPr>
          <w:headerReference w:type="default" r:id="rId66"/>
          <w:footerReference w:type="default" r:id="rId67"/>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7260112"/>
            <wp:docPr id="35" name="Picture 35"/>
            <wp:cNvGraphicFramePr>
              <a:graphicFrameLocks noChangeAspect="1"/>
            </wp:cNvGraphicFramePr>
            <a:graphic>
              <a:graphicData uri="http://schemas.openxmlformats.org/drawingml/2006/picture">
                <pic:pic>
                  <pic:nvPicPr>
                    <pic:cNvPr id="0" name="CU-05-actividades.png"/>
                    <pic:cNvPicPr/>
                  </pic:nvPicPr>
                  <pic:blipFill>
                    <a:blip r:embed="rId73"/>
                    <a:stretch>
                      <a:fillRect/>
                    </a:stretch>
                  </pic:blipFill>
                  <pic:spPr>
                    <a:xfrm>
                      <a:off x="0" y="0"/>
                      <a:ext cx="5760000" cy="7260112"/>
                    </a:xfrm>
                    <a:prstGeom prst="rect"/>
                  </pic:spPr>
                </pic:pic>
              </a:graphicData>
            </a:graphic>
          </wp:inline>
        </w:drawing>
      </w:r>
    </w:p>
    <w:p>
      <w:pPr>
        <w:jc w:val="center"/>
      </w:pPr>
      <w:r>
        <w:rPr>
          <w:i/>
          <w:sz w:val="18"/>
        </w:rPr>
        <w:t>Figura 35. Actividades del caso de uso CU-05, con sus caminos alternativos y de excepción.</w:t>
      </w:r>
    </w:p>
    <w:p>
      <w:pPr>
        <w:sectPr>
          <w:headerReference w:type="default" r:id="rId71"/>
          <w:footerReference w:type="default" r:id="rId72"/>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9000000" cy="4228690"/>
            <wp:docPr id="36" name="Picture 36"/>
            <wp:cNvGraphicFramePr>
              <a:graphicFrameLocks noChangeAspect="1"/>
            </wp:cNvGraphicFramePr>
            <a:graphic>
              <a:graphicData uri="http://schemas.openxmlformats.org/drawingml/2006/picture">
                <pic:pic>
                  <pic:nvPicPr>
                    <pic:cNvPr id="0" name="estado-MedicionOficial.png"/>
                    <pic:cNvPicPr/>
                  </pic:nvPicPr>
                  <pic:blipFill>
                    <a:blip r:embed="rId76"/>
                    <a:stretch>
                      <a:fillRect/>
                    </a:stretch>
                  </pic:blipFill>
                  <pic:spPr>
                    <a:xfrm>
                      <a:off x="0" y="0"/>
                      <a:ext cx="9000000" cy="4228690"/>
                    </a:xfrm>
                    <a:prstGeom prst="rect"/>
                  </pic:spPr>
                </pic:pic>
              </a:graphicData>
            </a:graphic>
          </wp:inline>
        </w:drawing>
      </w:r>
    </w:p>
    <w:p>
      <w:pPr>
        <w:jc w:val="center"/>
      </w:pPr>
      <w:r>
        <w:rPr>
          <w:i/>
          <w:sz w:val="18"/>
        </w:rPr>
        <w:t>Figura 36. Estados de MedicionOficial.</w:t>
      </w:r>
    </w:p>
    <w:p>
      <w:pPr>
        <w:sectPr>
          <w:headerReference w:type="default" r:id="rId74"/>
          <w:footerReference w:type="default" r:id="rId75"/>
          <w:pgSz w:w="16838" w:h="11906" w:orient="landscape"/>
          <w:pgMar w:top="1361" w:right="1020" w:bottom="680" w:left="1020" w:header="720" w:footer="720" w:gutter="0"/>
          <w:cols w:space="720"/>
          <w:docGrid w:linePitch="360"/>
        </w:sectPr>
      </w:pPr>
    </w:p>
    <w:p>
      <w:pPr>
        <w:pStyle w:val="Heading2"/>
      </w:pPr>
      <w:r>
        <w:t>Caso de Uso CU-06 Cerrar período de medición</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7622137"/>
            <wp:docPr id="37" name="Picture 37"/>
            <wp:cNvGraphicFramePr>
              <a:graphicFrameLocks noChangeAspect="1"/>
            </wp:cNvGraphicFramePr>
            <a:graphic>
              <a:graphicData uri="http://schemas.openxmlformats.org/drawingml/2006/picture">
                <pic:pic>
                  <pic:nvPicPr>
                    <pic:cNvPr id="0" name="C4-CU06-contexto.png"/>
                    <pic:cNvPicPr/>
                  </pic:nvPicPr>
                  <pic:blipFill>
                    <a:blip r:embed="rId79"/>
                    <a:stretch>
                      <a:fillRect/>
                    </a:stretch>
                  </pic:blipFill>
                  <pic:spPr>
                    <a:xfrm>
                      <a:off x="0" y="0"/>
                      <a:ext cx="5760000" cy="7622137"/>
                    </a:xfrm>
                    <a:prstGeom prst="rect"/>
                  </pic:spPr>
                </pic:pic>
              </a:graphicData>
            </a:graphic>
          </wp:inline>
        </w:drawing>
      </w:r>
    </w:p>
    <w:p>
      <w:pPr>
        <w:jc w:val="center"/>
      </w:pPr>
      <w:r>
        <w:rPr>
          <w:i/>
          <w:sz w:val="18"/>
        </w:rPr>
        <w:t>Figura 37. Contexto C4 del caso de uso CU-06.</w:t>
      </w:r>
    </w:p>
    <w:p>
      <w:pPr>
        <w:jc w:val="center"/>
      </w:pPr>
      <w:r>
        <w:drawing>
          <wp:inline xmlns:a="http://schemas.openxmlformats.org/drawingml/2006/main" xmlns:pic="http://schemas.openxmlformats.org/drawingml/2006/picture">
            <wp:extent cx="5760000" cy="13550400"/>
            <wp:docPr id="38" name="Picture 38"/>
            <wp:cNvGraphicFramePr>
              <a:graphicFrameLocks noChangeAspect="1"/>
            </wp:cNvGraphicFramePr>
            <a:graphic>
              <a:graphicData uri="http://schemas.openxmlformats.org/drawingml/2006/picture">
                <pic:pic>
                  <pic:nvPicPr>
                    <pic:cNvPr id="0" name="C4-CU06-contenedores.png"/>
                    <pic:cNvPicPr/>
                  </pic:nvPicPr>
                  <pic:blipFill>
                    <a:blip r:embed="rId80"/>
                    <a:stretch>
                      <a:fillRect/>
                    </a:stretch>
                  </pic:blipFill>
                  <pic:spPr>
                    <a:xfrm>
                      <a:off x="0" y="0"/>
                      <a:ext cx="5760000" cy="13550400"/>
                    </a:xfrm>
                    <a:prstGeom prst="rect"/>
                  </pic:spPr>
                </pic:pic>
              </a:graphicData>
            </a:graphic>
          </wp:inline>
        </w:drawing>
      </w:r>
    </w:p>
    <w:p>
      <w:pPr>
        <w:jc w:val="center"/>
      </w:pPr>
      <w:r>
        <w:rPr>
          <w:i/>
          <w:sz w:val="18"/>
        </w:rPr>
        <w:t>Figura 38. Contenedores C4 que intervienen en CU-06.</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CU-06 Cerrar período de medición</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Responsable Técnico cierra el período de medición de una obra cuando todas sus mediciones están resueltas y aprobadas. El cierre es atómico: el período queda cerrado por completo o conserva su estado anterior.</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RF-11, RNF-01, RNF-03, RNF-04,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Responsable Técnico</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El período está Abierto.</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El período queda Cerrado y ya no admite mediciones nuevas; el cierre registra actor y fecha.</w:t>
            </w:r>
            <w:r>
              <w:rPr>
                <w:rFonts w:ascii="Liberation Serif" w:hAnsi="Liberation Serif"/>
                <w:b w:val="0"/>
                <w:sz w:val="19"/>
              </w:rPr>
              <w:br/>
              <w:t>· Ninguna medición del período queda pendiente de decisión.</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Selecciona la obra y el período a cerrar.</w:t>
            </w:r>
          </w:p>
        </w:tc>
        <w:tc>
          <w:tcPr>
            <w:tcW w:type="dxa" w:w="2494"/>
            <w:gridSpan w:val="2"/>
          </w:tcPr>
          <w:p>
            <w:pPr>
              <w:spacing w:after="40"/>
            </w:pPr>
            <w:r/>
            <w:r>
              <w:rPr>
                <w:rFonts w:ascii="Liberation Serif" w:hAnsi="Liberation Serif"/>
                <w:b w:val="0"/>
                <w:sz w:val="19"/>
              </w:rPr>
              <w:t>Muestra las mediciones del período con su estado y señala las que siguen pendientes de decisión.</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Solicita el cierre del período.</w:t>
            </w:r>
          </w:p>
        </w:tc>
        <w:tc>
          <w:tcPr>
            <w:tcW w:type="dxa" w:w="2494"/>
            <w:gridSpan w:val="2"/>
          </w:tcPr>
          <w:p>
            <w:pPr>
              <w:spacing w:after="40"/>
            </w:pPr>
            <w:r/>
            <w:r>
              <w:rPr>
                <w:rFonts w:ascii="Liberation Serif" w:hAnsi="Liberation Serif"/>
                <w:b w:val="0"/>
                <w:sz w:val="19"/>
              </w:rPr>
              <w:t>Comprueba que todas las mediciones del período estén resueltas y aprobadas.</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Confirma el cierre.</w:t>
            </w:r>
          </w:p>
        </w:tc>
        <w:tc>
          <w:tcPr>
            <w:tcW w:type="dxa" w:w="2494"/>
            <w:gridSpan w:val="2"/>
          </w:tcPr>
          <w:p>
            <w:pPr>
              <w:spacing w:after="40"/>
            </w:pPr>
            <w:r/>
            <w:r>
              <w:rPr>
                <w:rFonts w:ascii="Liberation Serif" w:hAnsi="Liberation Serif"/>
                <w:b w:val="0"/>
                <w:sz w:val="19"/>
              </w:rPr>
              <w:t>Registra el período como Cerrado con actor y fecha en una sola operación.</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2, RF-11). Mediciones sin aprobar: quedan mediciones registradas o rechazadas en el período; el sistema no lo cierra e indica cuáles faltan resolver.</w:t>
            </w:r>
            <w:r>
              <w:rPr>
                <w:rFonts w:ascii="Liberation Serif" w:hAnsi="Liberation Serif"/>
                <w:b w:val="0"/>
                <w:sz w:val="19"/>
              </w:rPr>
              <w:br/>
              <w:t>E2 (RNF-03). Operación interrumpida: el período no queda parcialmente cerrado y conserva su estado Abierto.</w:t>
            </w:r>
            <w:r>
              <w:rPr>
                <w:rFonts w:ascii="Liberation Serif" w:hAnsi="Liberation Serif"/>
                <w:b w:val="0"/>
                <w:sz w:val="19"/>
              </w:rPr>
              <w:br/>
              <w:t>E3 (RNF-01). El actor no tiene rol vigente sobre la obra: el sistema deniega el cierre.</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5262675"/>
            <wp:docPr id="39" name="Picture 39"/>
            <wp:cNvGraphicFramePr>
              <a:graphicFrameLocks noChangeAspect="1"/>
            </wp:cNvGraphicFramePr>
            <a:graphic>
              <a:graphicData uri="http://schemas.openxmlformats.org/drawingml/2006/picture">
                <pic:pic>
                  <pic:nvPicPr>
                    <pic:cNvPr id="0" name="CU-06-clases.png"/>
                    <pic:cNvPicPr/>
                  </pic:nvPicPr>
                  <pic:blipFill>
                    <a:blip r:embed="rId81"/>
                    <a:stretch>
                      <a:fillRect/>
                    </a:stretch>
                  </pic:blipFill>
                  <pic:spPr>
                    <a:xfrm>
                      <a:off x="0" y="0"/>
                      <a:ext cx="5760000" cy="5262675"/>
                    </a:xfrm>
                    <a:prstGeom prst="rect"/>
                  </pic:spPr>
                </pic:pic>
              </a:graphicData>
            </a:graphic>
          </wp:inline>
        </w:drawing>
      </w:r>
    </w:p>
    <w:p>
      <w:pPr>
        <w:jc w:val="center"/>
      </w:pPr>
      <w:r>
        <w:rPr>
          <w:i/>
          <w:sz w:val="18"/>
        </w:rPr>
        <w:t>Figura 39. Clases del caso de uso CU-06.</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5760000" cy="3859592"/>
            <wp:docPr id="40" name="Picture 40"/>
            <wp:cNvGraphicFramePr>
              <a:graphicFrameLocks noChangeAspect="1"/>
            </wp:cNvGraphicFramePr>
            <a:graphic>
              <a:graphicData uri="http://schemas.openxmlformats.org/drawingml/2006/picture">
                <pic:pic>
                  <pic:nvPicPr>
                    <pic:cNvPr id="0" name="CU-06-secuencia.png"/>
                    <pic:cNvPicPr/>
                  </pic:nvPicPr>
                  <pic:blipFill>
                    <a:blip r:embed="rId82"/>
                    <a:stretch>
                      <a:fillRect/>
                    </a:stretch>
                  </pic:blipFill>
                  <pic:spPr>
                    <a:xfrm>
                      <a:off x="0" y="0"/>
                      <a:ext cx="5760000" cy="3859592"/>
                    </a:xfrm>
                    <a:prstGeom prst="rect"/>
                  </pic:spPr>
                </pic:pic>
              </a:graphicData>
            </a:graphic>
          </wp:inline>
        </w:drawing>
      </w:r>
    </w:p>
    <w:p>
      <w:pPr>
        <w:jc w:val="center"/>
      </w:pPr>
      <w:r>
        <w:rPr>
          <w:i/>
          <w:sz w:val="18"/>
        </w:rPr>
        <w:t>Figura 40. Interacción del caso de uso CU-06.</w:t>
      </w:r>
    </w:p>
    <w:p>
      <w:pPr>
        <w:sectPr>
          <w:headerReference w:type="default" r:id="rId77"/>
          <w:footerReference w:type="default" r:id="rId78"/>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9000000" cy="4869281"/>
            <wp:docPr id="41" name="Picture 41"/>
            <wp:cNvGraphicFramePr>
              <a:graphicFrameLocks noChangeAspect="1"/>
            </wp:cNvGraphicFramePr>
            <a:graphic>
              <a:graphicData uri="http://schemas.openxmlformats.org/drawingml/2006/picture">
                <pic:pic>
                  <pic:nvPicPr>
                    <pic:cNvPr id="0" name="C4-CU06.png"/>
                    <pic:cNvPicPr/>
                  </pic:nvPicPr>
                  <pic:blipFill>
                    <a:blip r:embed="rId85"/>
                    <a:stretch>
                      <a:fillRect/>
                    </a:stretch>
                  </pic:blipFill>
                  <pic:spPr>
                    <a:xfrm>
                      <a:off x="0" y="0"/>
                      <a:ext cx="9000000" cy="4869281"/>
                    </a:xfrm>
                    <a:prstGeom prst="rect"/>
                  </pic:spPr>
                </pic:pic>
              </a:graphicData>
            </a:graphic>
          </wp:inline>
        </w:drawing>
      </w:r>
    </w:p>
    <w:p>
      <w:pPr>
        <w:jc w:val="center"/>
      </w:pPr>
      <w:r>
        <w:rPr>
          <w:i/>
          <w:sz w:val="18"/>
        </w:rPr>
        <w:t>Figura 41. Vista dinámica C4 de CU-06 entre componentes.</w:t>
      </w:r>
    </w:p>
    <w:p>
      <w:pPr>
        <w:sectPr>
          <w:headerReference w:type="default" r:id="rId83"/>
          <w:footerReference w:type="default" r:id="rId84"/>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4273073"/>
            <wp:docPr id="42" name="Picture 42"/>
            <wp:cNvGraphicFramePr>
              <a:graphicFrameLocks noChangeAspect="1"/>
            </wp:cNvGraphicFramePr>
            <a:graphic>
              <a:graphicData uri="http://schemas.openxmlformats.org/drawingml/2006/picture">
                <pic:pic>
                  <pic:nvPicPr>
                    <pic:cNvPr id="0" name="CU-06-actividades.png"/>
                    <pic:cNvPicPr/>
                  </pic:nvPicPr>
                  <pic:blipFill>
                    <a:blip r:embed="rId88"/>
                    <a:stretch>
                      <a:fillRect/>
                    </a:stretch>
                  </pic:blipFill>
                  <pic:spPr>
                    <a:xfrm>
                      <a:off x="0" y="0"/>
                      <a:ext cx="5760000" cy="4273073"/>
                    </a:xfrm>
                    <a:prstGeom prst="rect"/>
                  </pic:spPr>
                </pic:pic>
              </a:graphicData>
            </a:graphic>
          </wp:inline>
        </w:drawing>
      </w:r>
    </w:p>
    <w:p>
      <w:pPr>
        <w:jc w:val="center"/>
      </w:pPr>
      <w:r>
        <w:rPr>
          <w:i/>
          <w:sz w:val="18"/>
        </w:rPr>
        <w:t>Figura 42. Actividades del caso de uso CU-06, con sus caminos alternativos y de excepción.</w:t>
      </w:r>
    </w:p>
    <w:p>
      <w:pPr>
        <w:jc w:val="center"/>
      </w:pPr>
      <w:r>
        <w:drawing>
          <wp:inline xmlns:a="http://schemas.openxmlformats.org/drawingml/2006/main" xmlns:pic="http://schemas.openxmlformats.org/drawingml/2006/picture">
            <wp:extent cx="5760000" cy="4581340"/>
            <wp:docPr id="43" name="Picture 43"/>
            <wp:cNvGraphicFramePr>
              <a:graphicFrameLocks noChangeAspect="1"/>
            </wp:cNvGraphicFramePr>
            <a:graphic>
              <a:graphicData uri="http://schemas.openxmlformats.org/drawingml/2006/picture">
                <pic:pic>
                  <pic:nvPicPr>
                    <pic:cNvPr id="0" name="estado-Periodo.png"/>
                    <pic:cNvPicPr/>
                  </pic:nvPicPr>
                  <pic:blipFill>
                    <a:blip r:embed="rId89"/>
                    <a:stretch>
                      <a:fillRect/>
                    </a:stretch>
                  </pic:blipFill>
                  <pic:spPr>
                    <a:xfrm>
                      <a:off x="0" y="0"/>
                      <a:ext cx="5760000" cy="4581340"/>
                    </a:xfrm>
                    <a:prstGeom prst="rect"/>
                  </pic:spPr>
                </pic:pic>
              </a:graphicData>
            </a:graphic>
          </wp:inline>
        </w:drawing>
      </w:r>
    </w:p>
    <w:p>
      <w:pPr>
        <w:jc w:val="center"/>
      </w:pPr>
      <w:r>
        <w:rPr>
          <w:i/>
          <w:sz w:val="18"/>
        </w:rPr>
        <w:t>Figura 43. Estados de Periodo.</w:t>
      </w:r>
    </w:p>
    <w:p>
      <w:pPr>
        <w:pStyle w:val="Heading2"/>
      </w:pPr>
      <w:r>
        <w:t>Caso de Uso CU-07 Generar borrador de certificado</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8486886"/>
            <wp:docPr id="44" name="Picture 44"/>
            <wp:cNvGraphicFramePr>
              <a:graphicFrameLocks noChangeAspect="1"/>
            </wp:cNvGraphicFramePr>
            <a:graphic>
              <a:graphicData uri="http://schemas.openxmlformats.org/drawingml/2006/picture">
                <pic:pic>
                  <pic:nvPicPr>
                    <pic:cNvPr id="0" name="C4-CU07-contexto.png"/>
                    <pic:cNvPicPr/>
                  </pic:nvPicPr>
                  <pic:blipFill>
                    <a:blip r:embed="rId90"/>
                    <a:stretch>
                      <a:fillRect/>
                    </a:stretch>
                  </pic:blipFill>
                  <pic:spPr>
                    <a:xfrm>
                      <a:off x="0" y="0"/>
                      <a:ext cx="5760000" cy="8486886"/>
                    </a:xfrm>
                    <a:prstGeom prst="rect"/>
                  </pic:spPr>
                </pic:pic>
              </a:graphicData>
            </a:graphic>
          </wp:inline>
        </w:drawing>
      </w:r>
    </w:p>
    <w:p>
      <w:pPr>
        <w:jc w:val="center"/>
      </w:pPr>
      <w:r>
        <w:rPr>
          <w:i/>
          <w:sz w:val="18"/>
        </w:rPr>
        <w:t>Figura 44. Contexto C4 del caso de uso CU-07.</w:t>
      </w:r>
    </w:p>
    <w:p>
      <w:pPr>
        <w:jc w:val="center"/>
      </w:pPr>
      <w:r>
        <w:drawing>
          <wp:inline xmlns:a="http://schemas.openxmlformats.org/drawingml/2006/main" xmlns:pic="http://schemas.openxmlformats.org/drawingml/2006/picture">
            <wp:extent cx="5760000" cy="13898840"/>
            <wp:docPr id="45" name="Picture 45"/>
            <wp:cNvGraphicFramePr>
              <a:graphicFrameLocks noChangeAspect="1"/>
            </wp:cNvGraphicFramePr>
            <a:graphic>
              <a:graphicData uri="http://schemas.openxmlformats.org/drawingml/2006/picture">
                <pic:pic>
                  <pic:nvPicPr>
                    <pic:cNvPr id="0" name="C4-CU07-contenedores.png"/>
                    <pic:cNvPicPr/>
                  </pic:nvPicPr>
                  <pic:blipFill>
                    <a:blip r:embed="rId91"/>
                    <a:stretch>
                      <a:fillRect/>
                    </a:stretch>
                  </pic:blipFill>
                  <pic:spPr>
                    <a:xfrm>
                      <a:off x="0" y="0"/>
                      <a:ext cx="5760000" cy="13898840"/>
                    </a:xfrm>
                    <a:prstGeom prst="rect"/>
                  </pic:spPr>
                </pic:pic>
              </a:graphicData>
            </a:graphic>
          </wp:inline>
        </w:drawing>
      </w:r>
    </w:p>
    <w:p>
      <w:pPr>
        <w:jc w:val="center"/>
      </w:pPr>
      <w:r>
        <w:rPr>
          <w:i/>
          <w:sz w:val="18"/>
        </w:rPr>
        <w:t>Figura 45. Contenedores C4 que intervienen en CU-07.</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CU-07 Generar borrador de certificado</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Ingeniero de Obra genera el borrador del certificado de avance de un período a partir de las mediciones aprobadas y elegibles según el presupuesto vigente. El sistema calcula la valorización con la cantidad certificable y el precio de venta vigente, aplica impuestos y fondos según la configuración de la obra, muestra cantidades del período, acumuladas y saldos, y señala las alertas del borrador.</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RF-09, RF-12, RF-13, RF-14, RF-15, RF-22, RNF-01, RNF-04, RNF-06, RNF-08, RNF-10, RNF-12, PR-01, PR-03, PR-08</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Ingeniero de Obra</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Existen mediciones oficiales aprobadas en el período.</w:t>
            </w:r>
            <w:r>
              <w:rPr>
                <w:rFonts w:ascii="Liberation Serif" w:hAnsi="Liberation Serif"/>
                <w:b w:val="0"/>
                <w:sz w:val="19"/>
              </w:rPr>
              <w:br/>
              <w:t>· La obra tiene una versión de presupuesto vigente y su configuración de impuestos y fondos.</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Queda un certificado en Borrador con una revisión que conserva cantidades certificables, valorización y alertas, y el vínculo con las mediciones y la versión usadas.</w:t>
            </w:r>
            <w:r>
              <w:rPr>
                <w:rFonts w:ascii="Liberation Serif" w:hAnsi="Liberation Serif"/>
                <w:b w:val="0"/>
                <w:sz w:val="19"/>
              </w:rPr>
              <w:br/>
              <w:t>· Las cantidades sin aprobación, sin saldo o pendientes de movimiento no integran el borrador.</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Selecciona la obra y el período a certificar.</w:t>
            </w:r>
          </w:p>
        </w:tc>
        <w:tc>
          <w:tcPr>
            <w:tcW w:type="dxa" w:w="2494"/>
            <w:gridSpan w:val="2"/>
          </w:tcPr>
          <w:p>
            <w:pPr>
              <w:spacing w:after="40"/>
            </w:pPr>
            <w:r/>
            <w:r>
              <w:rPr>
                <w:rFonts w:ascii="Liberation Serif" w:hAnsi="Liberation Serif"/>
                <w:b w:val="0"/>
                <w:sz w:val="19"/>
              </w:rPr>
              <w:t>Reúne las mediciones aprobadas del período y aparta las que no tienen saldo en la versión vigente.</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Solicita generar el borrador.</w:t>
            </w:r>
          </w:p>
        </w:tc>
        <w:tc>
          <w:tcPr>
            <w:tcW w:type="dxa" w:w="2494"/>
            <w:gridSpan w:val="2"/>
          </w:tcPr>
          <w:p>
            <w:pPr>
              <w:spacing w:after="40"/>
            </w:pPr>
            <w:r/>
            <w:r>
              <w:rPr>
                <w:rFonts w:ascii="Liberation Serif" w:hAnsi="Liberation Serif"/>
                <w:b w:val="0"/>
                <w:sz w:val="19"/>
              </w:rPr>
              <w:t>Crea el certificado en Borrador con una línea por ítem: cantidad certificable del período, cantidad aprobada acumulada y saldo de la versión vigente.</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Revisa la valorización del borrador.</w:t>
            </w:r>
          </w:p>
        </w:tc>
        <w:tc>
          <w:tcPr>
            <w:tcW w:type="dxa" w:w="2494"/>
            <w:gridSpan w:val="2"/>
          </w:tcPr>
          <w:p>
            <w:pPr>
              <w:spacing w:after="40"/>
            </w:pPr>
            <w:r/>
            <w:r>
              <w:rPr>
                <w:rFonts w:ascii="Liberation Serif" w:hAnsi="Liberation Serif"/>
                <w:b w:val="0"/>
                <w:sz w:val="19"/>
              </w:rPr>
              <w:t>Calcula con aritmética decimal y en guaraníes el subtotal con el precio de venta vigente, los impuestos y las retenciones de los fondos según la configuración de la obra.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Revisa las alertas del borrador.</w:t>
            </w:r>
          </w:p>
        </w:tc>
        <w:tc>
          <w:tcPr>
            <w:tcW w:type="dxa" w:w="2494"/>
            <w:gridSpan w:val="2"/>
          </w:tcPr>
          <w:p>
            <w:pPr>
              <w:spacing w:after="40"/>
            </w:pPr>
            <w:r/>
            <w:r>
              <w:rPr>
                <w:rFonts w:ascii="Liberation Serif" w:hAnsi="Liberation Serif"/>
                <w:b w:val="0"/>
                <w:sz w:val="19"/>
              </w:rPr>
              <w:t>Señala excesos, mediciones faltantes, precios sin movimiento vigente y diferencias de totales, cada una con su rubro o ítem y su dato de origen.</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Guarda el borrador.</w:t>
            </w:r>
          </w:p>
        </w:tc>
        <w:tc>
          <w:tcPr>
            <w:tcW w:type="dxa" w:w="2494"/>
            <w:gridSpan w:val="2"/>
          </w:tcPr>
          <w:p>
            <w:pPr>
              <w:spacing w:after="40"/>
            </w:pPr>
            <w:r/>
            <w:r>
              <w:rPr>
                <w:rFonts w:ascii="Liberation Serif" w:hAnsi="Liberation Serif"/>
                <w:b w:val="0"/>
                <w:sz w:val="19"/>
              </w:rPr>
              <w:t>Conserva la revisión con actor, fecha, versión de presupuesto y mediciones usadas, lista para su emisión en CU-09.</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1, RF-22). Cantidad pendiente ya cubierta: un movimiento presupuestario aprobado cubrió una propuesta pendiente; el sistema la incorpora como certificable según la versión vigente que refleja el movimiento.</w:t>
            </w:r>
            <w:r>
              <w:rPr>
                <w:rFonts w:ascii="Liberation Serif" w:hAnsi="Liberation Serif"/>
                <w:b w:val="0"/>
                <w:sz w:val="19"/>
              </w:rPr>
              <w:br/>
              <w:t>A2 (paso 4, PR-08). Asistencia de IA: el actor pide redactar o explicar una alerta; el sistema muestra la sugerencia como no verificada y los importes siguen saliendo del cálculo determinista.</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1, RF-12). Sin mediciones elegibles: el período no tiene mediciones aprobadas con saldo en la versión vigente; el sistema no genera el borrador.</w:t>
            </w:r>
            <w:r>
              <w:rPr>
                <w:rFonts w:ascii="Liberation Serif" w:hAnsi="Liberation Serif"/>
                <w:b w:val="0"/>
                <w:sz w:val="19"/>
              </w:rPr>
              <w:br/>
              <w:t>E2 (RNF-01). El actor no tiene rol vigente sobre la obra: el sistema deniega la generación.</w:t>
            </w:r>
          </w:p>
        </w:tc>
      </w:tr>
    </w:tbl>
    <w:p>
      <w:pPr>
        <w:sectPr>
          <w:headerReference w:type="default" r:id="rId86"/>
          <w:footerReference w:type="default" r:id="rId87"/>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9000000" cy="3097389"/>
            <wp:docPr id="46" name="Picture 46"/>
            <wp:cNvGraphicFramePr>
              <a:graphicFrameLocks noChangeAspect="1"/>
            </wp:cNvGraphicFramePr>
            <a:graphic>
              <a:graphicData uri="http://schemas.openxmlformats.org/drawingml/2006/picture">
                <pic:pic>
                  <pic:nvPicPr>
                    <pic:cNvPr id="0" name="CU-07-clases.png"/>
                    <pic:cNvPicPr/>
                  </pic:nvPicPr>
                  <pic:blipFill>
                    <a:blip r:embed="rId94"/>
                    <a:stretch>
                      <a:fillRect/>
                    </a:stretch>
                  </pic:blipFill>
                  <pic:spPr>
                    <a:xfrm>
                      <a:off x="0" y="0"/>
                      <a:ext cx="9000000" cy="3097389"/>
                    </a:xfrm>
                    <a:prstGeom prst="rect"/>
                  </pic:spPr>
                </pic:pic>
              </a:graphicData>
            </a:graphic>
          </wp:inline>
        </w:drawing>
      </w:r>
    </w:p>
    <w:p>
      <w:pPr>
        <w:jc w:val="center"/>
      </w:pPr>
      <w:r>
        <w:rPr>
          <w:i/>
          <w:sz w:val="18"/>
        </w:rPr>
        <w:t>Figura 46. Clases del caso de uso CU-07.</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3862556"/>
            <wp:docPr id="47" name="Picture 47"/>
            <wp:cNvGraphicFramePr>
              <a:graphicFrameLocks noChangeAspect="1"/>
            </wp:cNvGraphicFramePr>
            <a:graphic>
              <a:graphicData uri="http://schemas.openxmlformats.org/drawingml/2006/picture">
                <pic:pic>
                  <pic:nvPicPr>
                    <pic:cNvPr id="0" name="CU-07-secuencia.png"/>
                    <pic:cNvPicPr/>
                  </pic:nvPicPr>
                  <pic:blipFill>
                    <a:blip r:embed="rId95"/>
                    <a:stretch>
                      <a:fillRect/>
                    </a:stretch>
                  </pic:blipFill>
                  <pic:spPr>
                    <a:xfrm>
                      <a:off x="0" y="0"/>
                      <a:ext cx="9000000" cy="3862556"/>
                    </a:xfrm>
                    <a:prstGeom prst="rect"/>
                  </pic:spPr>
                </pic:pic>
              </a:graphicData>
            </a:graphic>
          </wp:inline>
        </w:drawing>
      </w:r>
    </w:p>
    <w:p>
      <w:pPr>
        <w:jc w:val="center"/>
      </w:pPr>
      <w:r>
        <w:rPr>
          <w:i/>
          <w:sz w:val="18"/>
        </w:rPr>
        <w:t>Figura 47. Interacción del caso de uso CU-07.</w:t>
      </w:r>
    </w:p>
    <w:p>
      <w:pPr>
        <w:jc w:val="center"/>
      </w:pPr>
      <w:r>
        <w:drawing>
          <wp:inline xmlns:a="http://schemas.openxmlformats.org/drawingml/2006/main" xmlns:pic="http://schemas.openxmlformats.org/drawingml/2006/picture">
            <wp:extent cx="9000000" cy="3265296"/>
            <wp:docPr id="48" name="Picture 48"/>
            <wp:cNvGraphicFramePr>
              <a:graphicFrameLocks noChangeAspect="1"/>
            </wp:cNvGraphicFramePr>
            <a:graphic>
              <a:graphicData uri="http://schemas.openxmlformats.org/drawingml/2006/picture">
                <pic:pic>
                  <pic:nvPicPr>
                    <pic:cNvPr id="0" name="C4-CU07.png"/>
                    <pic:cNvPicPr/>
                  </pic:nvPicPr>
                  <pic:blipFill>
                    <a:blip r:embed="rId96"/>
                    <a:stretch>
                      <a:fillRect/>
                    </a:stretch>
                  </pic:blipFill>
                  <pic:spPr>
                    <a:xfrm>
                      <a:off x="0" y="0"/>
                      <a:ext cx="9000000" cy="3265296"/>
                    </a:xfrm>
                    <a:prstGeom prst="rect"/>
                  </pic:spPr>
                </pic:pic>
              </a:graphicData>
            </a:graphic>
          </wp:inline>
        </w:drawing>
      </w:r>
    </w:p>
    <w:p>
      <w:pPr>
        <w:jc w:val="center"/>
      </w:pPr>
      <w:r>
        <w:rPr>
          <w:i/>
          <w:sz w:val="18"/>
        </w:rPr>
        <w:t>Figura 48. Vista dinámica C4 de CU-07 entre componentes.</w:t>
      </w: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3346768" cy="4788000"/>
            <wp:docPr id="49" name="Picture 49"/>
            <wp:cNvGraphicFramePr>
              <a:graphicFrameLocks noChangeAspect="1"/>
            </wp:cNvGraphicFramePr>
            <a:graphic>
              <a:graphicData uri="http://schemas.openxmlformats.org/drawingml/2006/picture">
                <pic:pic>
                  <pic:nvPicPr>
                    <pic:cNvPr id="0" name="CU-07-actividades.png"/>
                    <pic:cNvPicPr/>
                  </pic:nvPicPr>
                  <pic:blipFill>
                    <a:blip r:embed="rId97"/>
                    <a:stretch>
                      <a:fillRect/>
                    </a:stretch>
                  </pic:blipFill>
                  <pic:spPr>
                    <a:xfrm>
                      <a:off x="0" y="0"/>
                      <a:ext cx="3346768" cy="4788000"/>
                    </a:xfrm>
                    <a:prstGeom prst="rect"/>
                  </pic:spPr>
                </pic:pic>
              </a:graphicData>
            </a:graphic>
          </wp:inline>
        </w:drawing>
      </w:r>
    </w:p>
    <w:p>
      <w:pPr>
        <w:jc w:val="center"/>
      </w:pPr>
      <w:r>
        <w:rPr>
          <w:i/>
          <w:sz w:val="18"/>
        </w:rPr>
        <w:t>Figura 49. Actividades del caso de uso CU-07, con sus caminos alternativos y de excepción.</w:t>
      </w:r>
    </w:p>
    <w:p>
      <w:pPr>
        <w:sectPr>
          <w:headerReference w:type="default" r:id="rId92"/>
          <w:footerReference w:type="default" r:id="rId93"/>
          <w:pgSz w:w="16838" w:h="11906" w:orient="landscape"/>
          <w:pgMar w:top="1361" w:right="1020" w:bottom="680" w:left="1020" w:header="720" w:footer="720" w:gutter="0"/>
          <w:cols w:space="720"/>
          <w:docGrid w:linePitch="360"/>
        </w:sectPr>
      </w:pPr>
    </w:p>
    <w:p>
      <w:pPr>
        <w:spacing w:after="120"/>
      </w:pPr>
      <w:r>
        <w:rPr>
          <w:b w:val="0"/>
        </w:rPr>
        <w:t>Estados de Certificado: este caso de uso dispara «crear en Borrador». Para no repetir la figura, la máquina de estados completa se presenta en CU-09 (Figura 61).</w:t>
      </w:r>
    </w:p>
    <w:p>
      <w:pPr>
        <w:pStyle w:val="Heading2"/>
      </w:pPr>
      <w:r>
        <w:t>Caso de Uso CU-08 Corregir certificado emitido</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9134387"/>
            <wp:docPr id="50" name="Picture 50"/>
            <wp:cNvGraphicFramePr>
              <a:graphicFrameLocks noChangeAspect="1"/>
            </wp:cNvGraphicFramePr>
            <a:graphic>
              <a:graphicData uri="http://schemas.openxmlformats.org/drawingml/2006/picture">
                <pic:pic>
                  <pic:nvPicPr>
                    <pic:cNvPr id="0" name="C4-CU08-contexto.png"/>
                    <pic:cNvPicPr/>
                  </pic:nvPicPr>
                  <pic:blipFill>
                    <a:blip r:embed="rId100"/>
                    <a:stretch>
                      <a:fillRect/>
                    </a:stretch>
                  </pic:blipFill>
                  <pic:spPr>
                    <a:xfrm>
                      <a:off x="0" y="0"/>
                      <a:ext cx="5760000" cy="9134387"/>
                    </a:xfrm>
                    <a:prstGeom prst="rect"/>
                  </pic:spPr>
                </pic:pic>
              </a:graphicData>
            </a:graphic>
          </wp:inline>
        </w:drawing>
      </w:r>
    </w:p>
    <w:p>
      <w:pPr>
        <w:jc w:val="center"/>
      </w:pPr>
      <w:r>
        <w:rPr>
          <w:i/>
          <w:sz w:val="18"/>
        </w:rPr>
        <w:t>Figura 50. Contexto C4 del caso de uso CU-08.</w:t>
      </w:r>
    </w:p>
    <w:p>
      <w:pPr>
        <w:jc w:val="center"/>
      </w:pPr>
      <w:r>
        <w:drawing>
          <wp:inline xmlns:a="http://schemas.openxmlformats.org/drawingml/2006/main" xmlns:pic="http://schemas.openxmlformats.org/drawingml/2006/picture">
            <wp:extent cx="5760000" cy="14864516"/>
            <wp:docPr id="51" name="Picture 51"/>
            <wp:cNvGraphicFramePr>
              <a:graphicFrameLocks noChangeAspect="1"/>
            </wp:cNvGraphicFramePr>
            <a:graphic>
              <a:graphicData uri="http://schemas.openxmlformats.org/drawingml/2006/picture">
                <pic:pic>
                  <pic:nvPicPr>
                    <pic:cNvPr id="0" name="C4-CU08-contenedores.png"/>
                    <pic:cNvPicPr/>
                  </pic:nvPicPr>
                  <pic:blipFill>
                    <a:blip r:embed="rId101"/>
                    <a:stretch>
                      <a:fillRect/>
                    </a:stretch>
                  </pic:blipFill>
                  <pic:spPr>
                    <a:xfrm>
                      <a:off x="0" y="0"/>
                      <a:ext cx="5760000" cy="14864516"/>
                    </a:xfrm>
                    <a:prstGeom prst="rect"/>
                  </pic:spPr>
                </pic:pic>
              </a:graphicData>
            </a:graphic>
          </wp:inline>
        </w:drawing>
      </w:r>
    </w:p>
    <w:p>
      <w:pPr>
        <w:jc w:val="center"/>
      </w:pPr>
      <w:r>
        <w:rPr>
          <w:i/>
          <w:sz w:val="18"/>
        </w:rPr>
        <w:t>Figura 51. Contenedores C4 que intervienen en CU-08.</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CU-08 Corregir certificado emitido</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Ingeniero de Obra corrige un certificado emitido. El sistema crea una revisión nueva en Borrador vinculada a la emitida, que se conserva consultable sin alteración, y el certificado vuelve a Borrador hasta que se emita la revisión nueva en CU-09.</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RF-16, RNF-01, RNF-04, RNF-05,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Ingeniero de Obra</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El certificado está Emitido.</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Existe una revisión nueva en Borrador, numerada a continuación de la anterior y vinculada a ella.</w:t>
            </w:r>
            <w:r>
              <w:rPr>
                <w:rFonts w:ascii="Liberation Serif" w:hAnsi="Liberation Serif"/>
                <w:b w:val="0"/>
                <w:sz w:val="19"/>
              </w:rPr>
              <w:br/>
              <w:t>· La revisión emitida anterior y su archivo exportado permanecen consultables sin alteración.</w:t>
            </w:r>
            <w:r>
              <w:rPr>
                <w:rFonts w:ascii="Liberation Serif" w:hAnsi="Liberation Serif"/>
                <w:b w:val="0"/>
                <w:sz w:val="19"/>
              </w:rPr>
              <w:br/>
              <w:t>· El certificado queda en Borrador hasta que se emita la revisión nueva.</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Abre el certificado emitido y solicita corregirlo.</w:t>
            </w:r>
          </w:p>
        </w:tc>
        <w:tc>
          <w:tcPr>
            <w:tcW w:type="dxa" w:w="2494"/>
            <w:gridSpan w:val="2"/>
          </w:tcPr>
          <w:p>
            <w:pPr>
              <w:spacing w:after="40"/>
            </w:pPr>
            <w:r/>
            <w:r>
              <w:rPr>
                <w:rFonts w:ascii="Liberation Serif" w:hAnsi="Liberation Serif"/>
                <w:b w:val="0"/>
                <w:sz w:val="19"/>
              </w:rPr>
              <w:t>Muestra la revisión emitida con su número, fecha, destinatario y archivo exportado.</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Indica el motivo y corrige las cantidades o los datos.</w:t>
            </w:r>
          </w:p>
        </w:tc>
        <w:tc>
          <w:tcPr>
            <w:tcW w:type="dxa" w:w="2494"/>
            <w:gridSpan w:val="2"/>
          </w:tcPr>
          <w:p>
            <w:pPr>
              <w:spacing w:after="40"/>
            </w:pPr>
            <w:r/>
            <w:r>
              <w:rPr>
                <w:rFonts w:ascii="Liberation Serif" w:hAnsi="Liberation Serif"/>
                <w:b w:val="0"/>
                <w:sz w:val="19"/>
              </w:rPr>
              <w:t>Crea una revisión nueva en Borrador vinculada a la emitida y recalcula su valorización, sin modificar la revisión emitida.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Guarda la corrección.</w:t>
            </w:r>
          </w:p>
        </w:tc>
        <w:tc>
          <w:tcPr>
            <w:tcW w:type="dxa" w:w="2494"/>
            <w:gridSpan w:val="2"/>
          </w:tcPr>
          <w:p>
            <w:pPr>
              <w:spacing w:after="40"/>
            </w:pPr>
            <w:r/>
            <w:r>
              <w:rPr>
                <w:rFonts w:ascii="Liberation Serif" w:hAnsi="Liberation Serif"/>
                <w:b w:val="0"/>
                <w:sz w:val="19"/>
              </w:rPr>
              <w:t>Deja el certificado en Borrador sobre la revisión nueva, registra actor, fecha y motivo, y lo habilita para una nueva emisión.</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1, RF-16). Certificado todavía en Borrador: no hay revisión emitida que corregir; el sistema no crea una revisión y remite a editar el borrador.</w:t>
            </w:r>
            <w:r>
              <w:rPr>
                <w:rFonts w:ascii="Liberation Serif" w:hAnsi="Liberation Serif"/>
                <w:b w:val="0"/>
                <w:sz w:val="19"/>
              </w:rPr>
              <w:br/>
              <w:t>E2 (RNF-01). El actor no tiene rol vigente sobre la obra: el sistema deniega la corrección.</w:t>
            </w:r>
          </w:p>
        </w:tc>
      </w:tr>
    </w:tbl>
    <w:p>
      <w:pPr>
        <w:sectPr>
          <w:headerReference w:type="default" r:id="rId98"/>
          <w:footerReference w:type="default" r:id="rId99"/>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8508994" cy="4788000"/>
            <wp:docPr id="52" name="Picture 52"/>
            <wp:cNvGraphicFramePr>
              <a:graphicFrameLocks noChangeAspect="1"/>
            </wp:cNvGraphicFramePr>
            <a:graphic>
              <a:graphicData uri="http://schemas.openxmlformats.org/drawingml/2006/picture">
                <pic:pic>
                  <pic:nvPicPr>
                    <pic:cNvPr id="0" name="CU-08-clases.png"/>
                    <pic:cNvPicPr/>
                  </pic:nvPicPr>
                  <pic:blipFill>
                    <a:blip r:embed="rId104"/>
                    <a:stretch>
                      <a:fillRect/>
                    </a:stretch>
                  </pic:blipFill>
                  <pic:spPr>
                    <a:xfrm>
                      <a:off x="0" y="0"/>
                      <a:ext cx="8508994" cy="4788000"/>
                    </a:xfrm>
                    <a:prstGeom prst="rect"/>
                  </pic:spPr>
                </pic:pic>
              </a:graphicData>
            </a:graphic>
          </wp:inline>
        </w:drawing>
      </w:r>
    </w:p>
    <w:p>
      <w:pPr>
        <w:jc w:val="center"/>
      </w:pPr>
      <w:r>
        <w:rPr>
          <w:i/>
          <w:sz w:val="18"/>
        </w:rPr>
        <w:t>Figura 52. Clases del caso de uso CU-08.</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3928251"/>
            <wp:docPr id="53" name="Picture 53"/>
            <wp:cNvGraphicFramePr>
              <a:graphicFrameLocks noChangeAspect="1"/>
            </wp:cNvGraphicFramePr>
            <a:graphic>
              <a:graphicData uri="http://schemas.openxmlformats.org/drawingml/2006/picture">
                <pic:pic>
                  <pic:nvPicPr>
                    <pic:cNvPr id="0" name="CU-08-secuencia.png"/>
                    <pic:cNvPicPr/>
                  </pic:nvPicPr>
                  <pic:blipFill>
                    <a:blip r:embed="rId105"/>
                    <a:stretch>
                      <a:fillRect/>
                    </a:stretch>
                  </pic:blipFill>
                  <pic:spPr>
                    <a:xfrm>
                      <a:off x="0" y="0"/>
                      <a:ext cx="9000000" cy="3928251"/>
                    </a:xfrm>
                    <a:prstGeom prst="rect"/>
                  </pic:spPr>
                </pic:pic>
              </a:graphicData>
            </a:graphic>
          </wp:inline>
        </w:drawing>
      </w:r>
    </w:p>
    <w:p>
      <w:pPr>
        <w:jc w:val="center"/>
      </w:pPr>
      <w:r>
        <w:rPr>
          <w:i/>
          <w:sz w:val="18"/>
        </w:rPr>
        <w:t>Figura 53. Interacción del caso de uso CU-08.</w:t>
      </w:r>
    </w:p>
    <w:p>
      <w:pPr>
        <w:jc w:val="center"/>
      </w:pPr>
      <w:r>
        <w:drawing>
          <wp:inline xmlns:a="http://schemas.openxmlformats.org/drawingml/2006/main" xmlns:pic="http://schemas.openxmlformats.org/drawingml/2006/picture">
            <wp:extent cx="9000000" cy="4937544"/>
            <wp:docPr id="54" name="Picture 54"/>
            <wp:cNvGraphicFramePr>
              <a:graphicFrameLocks noChangeAspect="1"/>
            </wp:cNvGraphicFramePr>
            <a:graphic>
              <a:graphicData uri="http://schemas.openxmlformats.org/drawingml/2006/picture">
                <pic:pic>
                  <pic:nvPicPr>
                    <pic:cNvPr id="0" name="C4-CU08.png"/>
                    <pic:cNvPicPr/>
                  </pic:nvPicPr>
                  <pic:blipFill>
                    <a:blip r:embed="rId106"/>
                    <a:stretch>
                      <a:fillRect/>
                    </a:stretch>
                  </pic:blipFill>
                  <pic:spPr>
                    <a:xfrm>
                      <a:off x="0" y="0"/>
                      <a:ext cx="9000000" cy="4937544"/>
                    </a:xfrm>
                    <a:prstGeom prst="rect"/>
                  </pic:spPr>
                </pic:pic>
              </a:graphicData>
            </a:graphic>
          </wp:inline>
        </w:drawing>
      </w:r>
    </w:p>
    <w:p>
      <w:pPr>
        <w:jc w:val="center"/>
      </w:pPr>
      <w:r>
        <w:rPr>
          <w:i/>
          <w:sz w:val="18"/>
        </w:rPr>
        <w:t>Figura 54. Vista dinámica C4 de CU-08 entre componentes.</w:t>
      </w:r>
    </w:p>
    <w:p>
      <w:pPr>
        <w:sectPr>
          <w:headerReference w:type="default" r:id="rId102"/>
          <w:footerReference w:type="default" r:id="rId103"/>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4471049"/>
            <wp:docPr id="55" name="Picture 55"/>
            <wp:cNvGraphicFramePr>
              <a:graphicFrameLocks noChangeAspect="1"/>
            </wp:cNvGraphicFramePr>
            <a:graphic>
              <a:graphicData uri="http://schemas.openxmlformats.org/drawingml/2006/picture">
                <pic:pic>
                  <pic:nvPicPr>
                    <pic:cNvPr id="0" name="CU-08-actividades.png"/>
                    <pic:cNvPicPr/>
                  </pic:nvPicPr>
                  <pic:blipFill>
                    <a:blip r:embed="rId109"/>
                    <a:stretch>
                      <a:fillRect/>
                    </a:stretch>
                  </pic:blipFill>
                  <pic:spPr>
                    <a:xfrm>
                      <a:off x="0" y="0"/>
                      <a:ext cx="5760000" cy="4471049"/>
                    </a:xfrm>
                    <a:prstGeom prst="rect"/>
                  </pic:spPr>
                </pic:pic>
              </a:graphicData>
            </a:graphic>
          </wp:inline>
        </w:drawing>
      </w:r>
    </w:p>
    <w:p>
      <w:pPr>
        <w:jc w:val="center"/>
      </w:pPr>
      <w:r>
        <w:rPr>
          <w:i/>
          <w:sz w:val="18"/>
        </w:rPr>
        <w:t>Figura 55. Actividades del caso de uso CU-08, con sus caminos alternativos y de excepción.</w:t>
      </w:r>
    </w:p>
    <w:p>
      <w:pPr>
        <w:spacing w:after="120"/>
      </w:pPr>
      <w:r>
        <w:rPr>
          <w:b w:val="0"/>
        </w:rPr>
        <w:t>Estados de Certificado: este caso de uso dispara «corregir / crea revisión nueva y conserva la anterior». Para no repetir la figura, la máquina de estados completa se presenta en CU-09 (Figura 61).</w:t>
      </w:r>
    </w:p>
    <w:p>
      <w:pPr>
        <w:pStyle w:val="Heading2"/>
      </w:pPr>
      <w:r>
        <w:t>Caso de Uso CU-09 Emitir certificado de avance</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6827536"/>
            <wp:docPr id="56" name="Picture 56"/>
            <wp:cNvGraphicFramePr>
              <a:graphicFrameLocks noChangeAspect="1"/>
            </wp:cNvGraphicFramePr>
            <a:graphic>
              <a:graphicData uri="http://schemas.openxmlformats.org/drawingml/2006/picture">
                <pic:pic>
                  <pic:nvPicPr>
                    <pic:cNvPr id="0" name="C4-CU09-contexto.png"/>
                    <pic:cNvPicPr/>
                  </pic:nvPicPr>
                  <pic:blipFill>
                    <a:blip r:embed="rId110"/>
                    <a:stretch>
                      <a:fillRect/>
                    </a:stretch>
                  </pic:blipFill>
                  <pic:spPr>
                    <a:xfrm>
                      <a:off x="0" y="0"/>
                      <a:ext cx="5760000" cy="6827536"/>
                    </a:xfrm>
                    <a:prstGeom prst="rect"/>
                  </pic:spPr>
                </pic:pic>
              </a:graphicData>
            </a:graphic>
          </wp:inline>
        </w:drawing>
      </w:r>
    </w:p>
    <w:p>
      <w:pPr>
        <w:jc w:val="center"/>
      </w:pPr>
      <w:r>
        <w:rPr>
          <w:i/>
          <w:sz w:val="18"/>
        </w:rPr>
        <w:t>Figura 56. Contexto C4 del caso de uso CU-09.</w:t>
      </w:r>
    </w:p>
    <w:p>
      <w:pPr>
        <w:jc w:val="center"/>
      </w:pPr>
      <w:r>
        <w:drawing>
          <wp:inline xmlns:a="http://schemas.openxmlformats.org/drawingml/2006/main" xmlns:pic="http://schemas.openxmlformats.org/drawingml/2006/picture">
            <wp:extent cx="5760000" cy="8887834"/>
            <wp:docPr id="57" name="Picture 57"/>
            <wp:cNvGraphicFramePr>
              <a:graphicFrameLocks noChangeAspect="1"/>
            </wp:cNvGraphicFramePr>
            <a:graphic>
              <a:graphicData uri="http://schemas.openxmlformats.org/drawingml/2006/picture">
                <pic:pic>
                  <pic:nvPicPr>
                    <pic:cNvPr id="0" name="C4-CU09-contenedores.png"/>
                    <pic:cNvPicPr/>
                  </pic:nvPicPr>
                  <pic:blipFill>
                    <a:blip r:embed="rId111"/>
                    <a:stretch>
                      <a:fillRect/>
                    </a:stretch>
                  </pic:blipFill>
                  <pic:spPr>
                    <a:xfrm>
                      <a:off x="0" y="0"/>
                      <a:ext cx="5760000" cy="8887834"/>
                    </a:xfrm>
                    <a:prstGeom prst="rect"/>
                  </pic:spPr>
                </pic:pic>
              </a:graphicData>
            </a:graphic>
          </wp:inline>
        </w:drawing>
      </w:r>
    </w:p>
    <w:p>
      <w:pPr>
        <w:jc w:val="center"/>
      </w:pPr>
      <w:r>
        <w:rPr>
          <w:i/>
          <w:sz w:val="18"/>
        </w:rPr>
        <w:t>Figura 57. Contenedores C4 que intervienen en CU-09.</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CU-09 Emitir certificado de avance</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2026-06-01</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Taveira, Baltazar</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2026-06-15</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Ingeniero de Obra o el Administrador emite el certificado de avance sobre una revisión en borrador. El sistema asigna número, fecha y destinatario, registra quién lo emitió, genera el archivo exportado de la revisión emitida y publica el evento que el ERP consume para reflejar el certificado en el avance físico-financiero de la obra y registrar su documento derivado.</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RF-17, RF-18, RNF-01, RNF-04, RNF-05, RNF-06, RNF-12, PR-01, PR-04, PR-08</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Ingeniero de Obra, Administrador</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Existe una revisión de certificado en Borrador generada a partir de mediciones aprobadas y elegibles (CU-07).</w:t>
            </w:r>
            <w:r>
              <w:rPr>
                <w:rFonts w:ascii="Liberation Serif" w:hAnsi="Liberation Serif"/>
                <w:b w:val="0"/>
                <w:sz w:val="19"/>
              </w:rPr>
              <w:br/>
              <w:t>· La configuración de impuestos y fondos de la obra está vigente.</w:t>
            </w:r>
            <w:r>
              <w:rPr>
                <w:rFonts w:ascii="Liberation Serif" w:hAnsi="Liberation Serif"/>
                <w:b w:val="0"/>
                <w:sz w:val="19"/>
              </w:rPr>
              <w:br/>
              <w:t>· El actor tiene rol admin o miembro con acceso al ECMS.</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El certificado queda Emitido con número, fecha, destinatario, revisión identificada y actor que lo emitió.</w:t>
            </w:r>
            <w:r>
              <w:rPr>
                <w:rFonts w:ascii="Liberation Serif" w:hAnsi="Liberation Serif"/>
                <w:b w:val="0"/>
                <w:sz w:val="19"/>
              </w:rPr>
              <w:br/>
              <w:t>· Se genera un archivo nuevo de exportación y el evento que vincula el certificado con su documento ERP.</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Abre la revisión en borrador del certificado.</w:t>
            </w:r>
          </w:p>
        </w:tc>
        <w:tc>
          <w:tcPr>
            <w:tcW w:type="dxa" w:w="2494"/>
            <w:gridSpan w:val="2"/>
          </w:tcPr>
          <w:p>
            <w:pPr>
              <w:spacing w:after="40"/>
            </w:pPr>
            <w:r/>
            <w:r>
              <w:rPr>
                <w:rFonts w:ascii="Liberation Serif" w:hAnsi="Liberation Serif"/>
                <w:b w:val="0"/>
                <w:sz w:val="19"/>
              </w:rPr>
              <w:t>Muestra las cantidades certificables, la valorización con precio de venta vigente, impuestos, fondos y las alertas del borrador.</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Emite el certificado.</w:t>
            </w:r>
          </w:p>
        </w:tc>
        <w:tc>
          <w:tcPr>
            <w:tcW w:type="dxa" w:w="2494"/>
            <w:gridSpan w:val="2"/>
          </w:tcPr>
          <w:p>
            <w:pPr>
              <w:spacing w:after="40"/>
            </w:pPr>
            <w:r/>
            <w:r>
              <w:rPr>
                <w:rFonts w:ascii="Liberation Serif" w:hAnsi="Liberation Serif"/>
                <w:b w:val="0"/>
                <w:sz w:val="19"/>
              </w:rPr>
              <w:t>Asigna número y fecha, registra el destinatario y el actor que emite, y deja el certificado Emitido sobre esa revisión.</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Solicita la exportación del certificado.</w:t>
            </w:r>
          </w:p>
        </w:tc>
        <w:tc>
          <w:tcPr>
            <w:tcW w:type="dxa" w:w="2494"/>
            <w:gridSpan w:val="2"/>
          </w:tcPr>
          <w:p>
            <w:pPr>
              <w:spacing w:after="40"/>
            </w:pPr>
            <w:r/>
            <w:r>
              <w:rPr>
                <w:rFonts w:ascii="Liberation Serif" w:hAnsi="Liberation Serif"/>
                <w:b w:val="0"/>
                <w:sz w:val="19"/>
              </w:rPr>
              <w:t>Genera un archivo nuevo en formato XLSX o PDF correspondiente a la revisión emitida, sin sobrescribir sus fuentes.</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Confirma la emisión.</w:t>
            </w:r>
          </w:p>
        </w:tc>
        <w:tc>
          <w:tcPr>
            <w:tcW w:type="dxa" w:w="2494"/>
            <w:gridSpan w:val="2"/>
          </w:tcPr>
          <w:p>
            <w:pPr>
              <w:spacing w:after="40"/>
            </w:pPr>
            <w:r/>
            <w:r>
              <w:rPr>
                <w:rFonts w:ascii="Liberation Serif" w:hAnsi="Liberation Serif"/>
                <w:b w:val="0"/>
                <w:sz w:val="19"/>
              </w:rPr>
              <w:t>Incluye CU-10: publica el evento de certificado emitido para que el ERP lo refleje en el avance físico-financiero y registre su documento vinculado.</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(RF-17). El actor no tiene rol admin ni miembro con acceso al ECMS: el sistema deniega la emisión.</w:t>
            </w:r>
            <w:r>
              <w:rPr>
                <w:rFonts w:ascii="Liberation Serif" w:hAnsi="Liberation Serif"/>
                <w:b w:val="0"/>
                <w:sz w:val="19"/>
              </w:rPr>
              <w:br/>
              <w:t>E2 (RNF-06). Recálculo: repetir el cálculo con la misma instantánea de cantidades, precios y parámetros devuelve exactamente el mismo importe.</w:t>
            </w:r>
          </w:p>
        </w:tc>
      </w:tr>
    </w:tbl>
    <w:p>
      <w:pPr>
        <w:sectPr>
          <w:headerReference w:type="default" r:id="rId107"/>
          <w:footerReference w:type="default" r:id="rId108"/>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9000000" cy="3455157"/>
            <wp:docPr id="58" name="Picture 58"/>
            <wp:cNvGraphicFramePr>
              <a:graphicFrameLocks noChangeAspect="1"/>
            </wp:cNvGraphicFramePr>
            <a:graphic>
              <a:graphicData uri="http://schemas.openxmlformats.org/drawingml/2006/picture">
                <pic:pic>
                  <pic:nvPicPr>
                    <pic:cNvPr id="0" name="CU-09-clases.png"/>
                    <pic:cNvPicPr/>
                  </pic:nvPicPr>
                  <pic:blipFill>
                    <a:blip r:embed="rId114"/>
                    <a:stretch>
                      <a:fillRect/>
                    </a:stretch>
                  </pic:blipFill>
                  <pic:spPr>
                    <a:xfrm>
                      <a:off x="0" y="0"/>
                      <a:ext cx="9000000" cy="3455157"/>
                    </a:xfrm>
                    <a:prstGeom prst="rect"/>
                  </pic:spPr>
                </pic:pic>
              </a:graphicData>
            </a:graphic>
          </wp:inline>
        </w:drawing>
      </w:r>
    </w:p>
    <w:p>
      <w:pPr>
        <w:jc w:val="center"/>
      </w:pPr>
      <w:r>
        <w:rPr>
          <w:i/>
          <w:sz w:val="18"/>
        </w:rPr>
        <w:t>Figura 58. Clases del caso de uso CU-09.</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4049666"/>
            <wp:docPr id="59" name="Picture 59"/>
            <wp:cNvGraphicFramePr>
              <a:graphicFrameLocks noChangeAspect="1"/>
            </wp:cNvGraphicFramePr>
            <a:graphic>
              <a:graphicData uri="http://schemas.openxmlformats.org/drawingml/2006/picture">
                <pic:pic>
                  <pic:nvPicPr>
                    <pic:cNvPr id="0" name="CU-09-secuencia.png"/>
                    <pic:cNvPicPr/>
                  </pic:nvPicPr>
                  <pic:blipFill>
                    <a:blip r:embed="rId115"/>
                    <a:stretch>
                      <a:fillRect/>
                    </a:stretch>
                  </pic:blipFill>
                  <pic:spPr>
                    <a:xfrm>
                      <a:off x="0" y="0"/>
                      <a:ext cx="9000000" cy="4049666"/>
                    </a:xfrm>
                    <a:prstGeom prst="rect"/>
                  </pic:spPr>
                </pic:pic>
              </a:graphicData>
            </a:graphic>
          </wp:inline>
        </w:drawing>
      </w:r>
    </w:p>
    <w:p>
      <w:pPr>
        <w:jc w:val="center"/>
      </w:pPr>
      <w:r>
        <w:rPr>
          <w:i/>
          <w:sz w:val="18"/>
        </w:rPr>
        <w:t>Figura 59. Interacción del caso de uso CU-09.</w:t>
      </w:r>
    </w:p>
    <w:p>
      <w:pPr>
        <w:jc w:val="center"/>
      </w:pPr>
      <w:r>
        <w:drawing>
          <wp:inline xmlns:a="http://schemas.openxmlformats.org/drawingml/2006/main" xmlns:pic="http://schemas.openxmlformats.org/drawingml/2006/picture">
            <wp:extent cx="9000000" cy="4150955"/>
            <wp:docPr id="60" name="Picture 60"/>
            <wp:cNvGraphicFramePr>
              <a:graphicFrameLocks noChangeAspect="1"/>
            </wp:cNvGraphicFramePr>
            <a:graphic>
              <a:graphicData uri="http://schemas.openxmlformats.org/drawingml/2006/picture">
                <pic:pic>
                  <pic:nvPicPr>
                    <pic:cNvPr id="0" name="C4-CU09.png"/>
                    <pic:cNvPicPr/>
                  </pic:nvPicPr>
                  <pic:blipFill>
                    <a:blip r:embed="rId116"/>
                    <a:stretch>
                      <a:fillRect/>
                    </a:stretch>
                  </pic:blipFill>
                  <pic:spPr>
                    <a:xfrm>
                      <a:off x="0" y="0"/>
                      <a:ext cx="9000000" cy="4150955"/>
                    </a:xfrm>
                    <a:prstGeom prst="rect"/>
                  </pic:spPr>
                </pic:pic>
              </a:graphicData>
            </a:graphic>
          </wp:inline>
        </w:drawing>
      </w:r>
    </w:p>
    <w:p>
      <w:pPr>
        <w:jc w:val="center"/>
      </w:pPr>
      <w:r>
        <w:rPr>
          <w:i/>
          <w:sz w:val="18"/>
        </w:rPr>
        <w:t>Figura 60. Vista dinámica C4 de CU-09 entre componentes.</w:t>
      </w: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7874071" cy="4788000"/>
            <wp:docPr id="61" name="Picture 61"/>
            <wp:cNvGraphicFramePr>
              <a:graphicFrameLocks noChangeAspect="1"/>
            </wp:cNvGraphicFramePr>
            <a:graphic>
              <a:graphicData uri="http://schemas.openxmlformats.org/drawingml/2006/picture">
                <pic:pic>
                  <pic:nvPicPr>
                    <pic:cNvPr id="0" name="estado-Certificado.png"/>
                    <pic:cNvPicPr/>
                  </pic:nvPicPr>
                  <pic:blipFill>
                    <a:blip r:embed="rId117"/>
                    <a:stretch>
                      <a:fillRect/>
                    </a:stretch>
                  </pic:blipFill>
                  <pic:spPr>
                    <a:xfrm>
                      <a:off x="0" y="0"/>
                      <a:ext cx="7874071" cy="4788000"/>
                    </a:xfrm>
                    <a:prstGeom prst="rect"/>
                  </pic:spPr>
                </pic:pic>
              </a:graphicData>
            </a:graphic>
          </wp:inline>
        </w:drawing>
      </w:r>
    </w:p>
    <w:p>
      <w:pPr>
        <w:jc w:val="center"/>
      </w:pPr>
      <w:r>
        <w:rPr>
          <w:i/>
          <w:sz w:val="18"/>
        </w:rPr>
        <w:t>Figura 61. Estados de Certificado.</w:t>
      </w:r>
    </w:p>
    <w:p>
      <w:pPr>
        <w:sectPr>
          <w:headerReference w:type="default" r:id="rId112"/>
          <w:footerReference w:type="default" r:id="rId113"/>
          <w:pgSz w:w="16838" w:h="11906" w:orient="landscape"/>
          <w:pgMar w:top="1361" w:right="1020" w:bottom="680" w:left="1020" w:header="720" w:footer="720" w:gutter="0"/>
          <w:cols w:space="720"/>
          <w:docGrid w:linePitch="360"/>
        </w:sectPr>
      </w:pPr>
    </w:p>
    <w:p>
      <w:pPr>
        <w:pStyle w:val="Heading2"/>
      </w:pPr>
      <w:r>
        <w:t>Caso de Uso CU-10 Derivar documento financiero en ERP</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7729622"/>
            <wp:docPr id="62" name="Picture 62"/>
            <wp:cNvGraphicFramePr>
              <a:graphicFrameLocks noChangeAspect="1"/>
            </wp:cNvGraphicFramePr>
            <a:graphic>
              <a:graphicData uri="http://schemas.openxmlformats.org/drawingml/2006/picture">
                <pic:pic>
                  <pic:nvPicPr>
                    <pic:cNvPr id="0" name="C4-CU10-contexto.png"/>
                    <pic:cNvPicPr/>
                  </pic:nvPicPr>
                  <pic:blipFill>
                    <a:blip r:embed="rId120"/>
                    <a:stretch>
                      <a:fillRect/>
                    </a:stretch>
                  </pic:blipFill>
                  <pic:spPr>
                    <a:xfrm>
                      <a:off x="0" y="0"/>
                      <a:ext cx="5760000" cy="7729622"/>
                    </a:xfrm>
                    <a:prstGeom prst="rect"/>
                  </pic:spPr>
                </pic:pic>
              </a:graphicData>
            </a:graphic>
          </wp:inline>
        </w:drawing>
      </w:r>
    </w:p>
    <w:p>
      <w:pPr>
        <w:jc w:val="center"/>
      </w:pPr>
      <w:r>
        <w:rPr>
          <w:i/>
          <w:sz w:val="18"/>
        </w:rPr>
        <w:t>Figura 62. Contexto C4 del caso de uso CU-10.</w:t>
      </w:r>
    </w:p>
    <w:p>
      <w:pPr>
        <w:jc w:val="center"/>
      </w:pPr>
      <w:r>
        <w:drawing>
          <wp:inline xmlns:a="http://schemas.openxmlformats.org/drawingml/2006/main" xmlns:pic="http://schemas.openxmlformats.org/drawingml/2006/picture">
            <wp:extent cx="5760000" cy="10578462"/>
            <wp:docPr id="63" name="Picture 63"/>
            <wp:cNvGraphicFramePr>
              <a:graphicFrameLocks noChangeAspect="1"/>
            </wp:cNvGraphicFramePr>
            <a:graphic>
              <a:graphicData uri="http://schemas.openxmlformats.org/drawingml/2006/picture">
                <pic:pic>
                  <pic:nvPicPr>
                    <pic:cNvPr id="0" name="C4-CU10-contenedores.png"/>
                    <pic:cNvPicPr/>
                  </pic:nvPicPr>
                  <pic:blipFill>
                    <a:blip r:embed="rId121"/>
                    <a:stretch>
                      <a:fillRect/>
                    </a:stretch>
                  </pic:blipFill>
                  <pic:spPr>
                    <a:xfrm>
                      <a:off x="0" y="0"/>
                      <a:ext cx="5760000" cy="10578462"/>
                    </a:xfrm>
                    <a:prstGeom prst="rect"/>
                  </pic:spPr>
                </pic:pic>
              </a:graphicData>
            </a:graphic>
          </wp:inline>
        </w:drawing>
      </w:r>
    </w:p>
    <w:p>
      <w:pPr>
        <w:jc w:val="center"/>
      </w:pPr>
      <w:r>
        <w:rPr>
          <w:i/>
          <w:sz w:val="18"/>
        </w:rPr>
        <w:t>Figura 63. Contenedores C4 que intervienen en CU-10.</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CU-10 Derivar documento financiero en ERP</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Incluido por CU-09 y CU-14. Al recibir el evento de certificado emitido que publica el Motor de Ingeniería, el Motor ERP registra el documento financiero derivado (factura al Cliente si el certificado es interno, pago al Subcontratista si es de subcontrato), lo vincula al certificado sin duplicarlo y lo refleja en el avance físico-financiero de la obra. Finanzas y Tesorería registra el cobro de la factura o aprueba y ejecuta el pago.</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RF-14, RF-18, RNF-01, RNF-04, RNF-11, PR-01, PR-05, PR-06</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Motor de Ingeniería, Motor ERP, Finanzas y Tesorería, Cliente</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Existe un certificado Emitido cuyo evento fue publicado en CU-09 o CU-14.</w:t>
            </w:r>
            <w:r>
              <w:rPr>
                <w:rFonts w:ascii="Liberation Serif" w:hAnsi="Liberation Serif"/>
                <w:b w:val="0"/>
                <w:sz w:val="19"/>
              </w:rPr>
              <w:br/>
              <w:t>· Finanzas y Tesorería opera con rol miembro ERP vigente.</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Queda un documento financiero Registrado y vinculado al certificado, sin duplicarlo.</w:t>
            </w:r>
            <w:r>
              <w:rPr>
                <w:rFonts w:ascii="Liberation Serif" w:hAnsi="Liberation Serif"/>
                <w:b w:val="0"/>
                <w:sz w:val="19"/>
              </w:rPr>
              <w:br/>
              <w:t>· La factura llega a Cobrado cuando se registra el cobro; el pago llega a Pagado cuando se ejecuta.</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Motor de Ingeniería</w:t>
            </w:r>
          </w:p>
        </w:tc>
        <w:tc>
          <w:tcPr>
            <w:tcW w:type="dxa" w:w="3402"/>
          </w:tcPr>
          <w:p>
            <w:pPr>
              <w:spacing w:after="40"/>
            </w:pPr>
            <w:r/>
            <w:r>
              <w:rPr>
                <w:rFonts w:ascii="Liberation Serif" w:hAnsi="Liberation Serif"/>
                <w:b w:val="0"/>
                <w:sz w:val="19"/>
              </w:rPr>
              <w:t>Publica el evento de certificado emitido.</w:t>
            </w:r>
          </w:p>
        </w:tc>
        <w:tc>
          <w:tcPr>
            <w:tcW w:type="dxa" w:w="2494"/>
            <w:gridSpan w:val="2"/>
          </w:tcPr>
          <w:p>
            <w:pPr>
              <w:spacing w:after="40"/>
            </w:pPr>
            <w:r/>
            <w:r>
              <w:rPr>
                <w:rFonts w:ascii="Liberation Serif" w:hAnsi="Liberation Serif"/>
                <w:b w:val="0"/>
                <w:sz w:val="19"/>
              </w:rPr>
              <w:t>Recibe el evento y comprueba que el certificado no tenga un documento financiero vinculado.</w:t>
            </w:r>
          </w:p>
        </w:tc>
      </w:tr>
      <w:tr>
        <w:tc>
          <w:tcPr>
            <w:tcW w:type="dxa" w:w="1928"/>
          </w:tcPr>
          <w:p>
            <w:pPr>
              <w:spacing w:after="40"/>
            </w:pPr>
            <w:r/>
            <w:r>
              <w:rPr>
                <w:rFonts w:ascii="Liberation Serif" w:hAnsi="Liberation Serif"/>
                <w:b w:val="0"/>
                <w:sz w:val="19"/>
              </w:rPr>
              <w:t>Motor ERP</w:t>
            </w:r>
          </w:p>
        </w:tc>
        <w:tc>
          <w:tcPr>
            <w:tcW w:type="dxa" w:w="3402"/>
          </w:tcPr>
          <w:p>
            <w:pPr>
              <w:spacing w:after="40"/>
            </w:pPr>
            <w:r/>
            <w:r>
              <w:rPr>
                <w:rFonts w:ascii="Liberation Serif" w:hAnsi="Liberation Serif"/>
                <w:b w:val="0"/>
                <w:sz w:val="19"/>
              </w:rPr>
              <w:t>Deriva el documento según el tipo de certificado.</w:t>
            </w:r>
          </w:p>
        </w:tc>
        <w:tc>
          <w:tcPr>
            <w:tcW w:type="dxa" w:w="2494"/>
            <w:gridSpan w:val="2"/>
          </w:tcPr>
          <w:p>
            <w:pPr>
              <w:spacing w:after="40"/>
            </w:pPr>
            <w:r/>
            <w:r>
              <w:rPr>
                <w:rFonts w:ascii="Liberation Serif" w:hAnsi="Liberation Serif"/>
                <w:b w:val="0"/>
                <w:sz w:val="19"/>
              </w:rPr>
              <w:t>Registra la factura al Cliente o el pago al Subcontratista con número, fecha y monto, vinculado al certificado, y entrega la factura al Cliente.</w:t>
            </w:r>
          </w:p>
        </w:tc>
      </w:tr>
      <w:tr>
        <w:tc>
          <w:tcPr>
            <w:tcW w:type="dxa" w:w="1928"/>
          </w:tcPr>
          <w:p>
            <w:pPr>
              <w:spacing w:after="40"/>
            </w:pPr>
            <w:r/>
            <w:r>
              <w:rPr>
                <w:rFonts w:ascii="Liberation Serif" w:hAnsi="Liberation Serif"/>
                <w:b w:val="0"/>
                <w:sz w:val="19"/>
              </w:rPr>
              <w:t>Motor ERP</w:t>
            </w:r>
          </w:p>
        </w:tc>
        <w:tc>
          <w:tcPr>
            <w:tcW w:type="dxa" w:w="3402"/>
          </w:tcPr>
          <w:p>
            <w:pPr>
              <w:spacing w:after="40"/>
            </w:pPr>
            <w:r/>
            <w:r>
              <w:rPr>
                <w:rFonts w:ascii="Liberation Serif" w:hAnsi="Liberation Serif"/>
                <w:b w:val="0"/>
                <w:sz w:val="19"/>
              </w:rPr>
              <w:t>Refleja el certificado en el avance físico-financiero.</w:t>
            </w:r>
          </w:p>
        </w:tc>
        <w:tc>
          <w:tcPr>
            <w:tcW w:type="dxa" w:w="2494"/>
            <w:gridSpan w:val="2"/>
          </w:tcPr>
          <w:p>
            <w:pPr>
              <w:spacing w:after="40"/>
            </w:pPr>
            <w:r/>
            <w:r>
              <w:rPr>
                <w:rFonts w:ascii="Liberation Serif" w:hAnsi="Liberation Serif"/>
                <w:b w:val="0"/>
                <w:sz w:val="19"/>
              </w:rPr>
              <w:t>Actualiza el avance de la obra con fecha de corte, unidad, moneda y procedencia de cada total.</w:t>
            </w:r>
          </w:p>
        </w:tc>
      </w:tr>
      <w:tr>
        <w:tc>
          <w:tcPr>
            <w:tcW w:type="dxa" w:w="1928"/>
          </w:tcPr>
          <w:p>
            <w:pPr>
              <w:spacing w:after="40"/>
            </w:pPr>
            <w:r/>
            <w:r>
              <w:rPr>
                <w:rFonts w:ascii="Liberation Serif" w:hAnsi="Liberation Serif"/>
                <w:b w:val="0"/>
                <w:sz w:val="19"/>
              </w:rPr>
              <w:t>Finanzas y Tesorería</w:t>
            </w:r>
          </w:p>
        </w:tc>
        <w:tc>
          <w:tcPr>
            <w:tcW w:type="dxa" w:w="3402"/>
          </w:tcPr>
          <w:p>
            <w:pPr>
              <w:spacing w:after="40"/>
            </w:pPr>
            <w:r/>
            <w:r>
              <w:rPr>
                <w:rFonts w:ascii="Liberation Serif" w:hAnsi="Liberation Serif"/>
                <w:b w:val="0"/>
                <w:sz w:val="19"/>
              </w:rPr>
              <w:t>Registra el cobro de la factura.</w:t>
            </w:r>
          </w:p>
        </w:tc>
        <w:tc>
          <w:tcPr>
            <w:tcW w:type="dxa" w:w="2494"/>
            <w:gridSpan w:val="2"/>
          </w:tcPr>
          <w:p>
            <w:pPr>
              <w:spacing w:after="40"/>
            </w:pPr>
            <w:r/>
            <w:r>
              <w:rPr>
                <w:rFonts w:ascii="Liberation Serif" w:hAnsi="Liberation Serif"/>
                <w:b w:val="0"/>
                <w:sz w:val="19"/>
              </w:rPr>
              <w:t>Deja la factura Cobrada con actor y fecha, vinculada a su certificado.</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1, RF-14). Certificado ya derivado: el certificado ya tiene un documento financiero vinculado; el sistema no registra otro y refiere el existente.</w:t>
            </w:r>
            <w:r>
              <w:rPr>
                <w:rFonts w:ascii="Liberation Serif" w:hAnsi="Liberation Serif"/>
                <w:b w:val="0"/>
                <w:sz w:val="19"/>
              </w:rPr>
              <w:br/>
              <w:t>A2 (paso 3, PR-06). Pago al subcontratista: Finanzas y Tesorería aprueba el pago y luego lo ejecuta; el sistema lo deja Aprobado y después Pagado, vinculado al certificado de subcontrato.</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(RNF-01). Finanzas y Tesorería no tiene rol miembro ERP vigente: el sistema deniega el registro del cobro o del pago.</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4918340"/>
            <wp:docPr id="64" name="Picture 64"/>
            <wp:cNvGraphicFramePr>
              <a:graphicFrameLocks noChangeAspect="1"/>
            </wp:cNvGraphicFramePr>
            <a:graphic>
              <a:graphicData uri="http://schemas.openxmlformats.org/drawingml/2006/picture">
                <pic:pic>
                  <pic:nvPicPr>
                    <pic:cNvPr id="0" name="CU-10-clases.png"/>
                    <pic:cNvPicPr/>
                  </pic:nvPicPr>
                  <pic:blipFill>
                    <a:blip r:embed="rId122"/>
                    <a:stretch>
                      <a:fillRect/>
                    </a:stretch>
                  </pic:blipFill>
                  <pic:spPr>
                    <a:xfrm>
                      <a:off x="0" y="0"/>
                      <a:ext cx="5760000" cy="4918340"/>
                    </a:xfrm>
                    <a:prstGeom prst="rect"/>
                  </pic:spPr>
                </pic:pic>
              </a:graphicData>
            </a:graphic>
          </wp:inline>
        </w:drawing>
      </w:r>
    </w:p>
    <w:p>
      <w:pPr>
        <w:jc w:val="center"/>
      </w:pPr>
      <w:r>
        <w:rPr>
          <w:i/>
          <w:sz w:val="18"/>
        </w:rPr>
        <w:t>Figura 64. Clases del caso de uso CU-10.</w:t>
      </w:r>
    </w:p>
    <w:p>
      <w:pPr>
        <w:sectPr>
          <w:headerReference w:type="default" r:id="rId118"/>
          <w:footerReference w:type="default" r:id="rId119"/>
          <w:pgSz w:w="11906" w:h="16838"/>
          <w:pgMar w:top="1247" w:right="1417" w:bottom="1247" w:left="1417"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7062584" cy="4788000"/>
            <wp:docPr id="65" name="Picture 65"/>
            <wp:cNvGraphicFramePr>
              <a:graphicFrameLocks noChangeAspect="1"/>
            </wp:cNvGraphicFramePr>
            <a:graphic>
              <a:graphicData uri="http://schemas.openxmlformats.org/drawingml/2006/picture">
                <pic:pic>
                  <pic:nvPicPr>
                    <pic:cNvPr id="0" name="CU-10-secuencia.png"/>
                    <pic:cNvPicPr/>
                  </pic:nvPicPr>
                  <pic:blipFill>
                    <a:blip r:embed="rId125"/>
                    <a:stretch>
                      <a:fillRect/>
                    </a:stretch>
                  </pic:blipFill>
                  <pic:spPr>
                    <a:xfrm>
                      <a:off x="0" y="0"/>
                      <a:ext cx="7062584" cy="4788000"/>
                    </a:xfrm>
                    <a:prstGeom prst="rect"/>
                  </pic:spPr>
                </pic:pic>
              </a:graphicData>
            </a:graphic>
          </wp:inline>
        </w:drawing>
      </w:r>
    </w:p>
    <w:p>
      <w:pPr>
        <w:jc w:val="center"/>
      </w:pPr>
      <w:r>
        <w:rPr>
          <w:i/>
          <w:sz w:val="18"/>
        </w:rPr>
        <w:t>Figura 65. Interacción del caso de uso CU-10.</w:t>
      </w:r>
    </w:p>
    <w:p>
      <w:pPr>
        <w:jc w:val="center"/>
      </w:pPr>
      <w:r>
        <w:drawing>
          <wp:inline xmlns:a="http://schemas.openxmlformats.org/drawingml/2006/main" xmlns:pic="http://schemas.openxmlformats.org/drawingml/2006/picture">
            <wp:extent cx="9000000" cy="3764828"/>
            <wp:docPr id="66" name="Picture 66"/>
            <wp:cNvGraphicFramePr>
              <a:graphicFrameLocks noChangeAspect="1"/>
            </wp:cNvGraphicFramePr>
            <a:graphic>
              <a:graphicData uri="http://schemas.openxmlformats.org/drawingml/2006/picture">
                <pic:pic>
                  <pic:nvPicPr>
                    <pic:cNvPr id="0" name="C4-CU10.png"/>
                    <pic:cNvPicPr/>
                  </pic:nvPicPr>
                  <pic:blipFill>
                    <a:blip r:embed="rId126"/>
                    <a:stretch>
                      <a:fillRect/>
                    </a:stretch>
                  </pic:blipFill>
                  <pic:spPr>
                    <a:xfrm>
                      <a:off x="0" y="0"/>
                      <a:ext cx="9000000" cy="3764828"/>
                    </a:xfrm>
                    <a:prstGeom prst="rect"/>
                  </pic:spPr>
                </pic:pic>
              </a:graphicData>
            </a:graphic>
          </wp:inline>
        </w:drawing>
      </w:r>
    </w:p>
    <w:p>
      <w:pPr>
        <w:jc w:val="center"/>
      </w:pPr>
      <w:r>
        <w:rPr>
          <w:i/>
          <w:sz w:val="18"/>
        </w:rPr>
        <w:t>Figura 66. Vista dinámica C4 de CU-10 entre componentes.</w:t>
      </w: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6141302" cy="4788000"/>
            <wp:docPr id="67" name="Picture 67"/>
            <wp:cNvGraphicFramePr>
              <a:graphicFrameLocks noChangeAspect="1"/>
            </wp:cNvGraphicFramePr>
            <a:graphic>
              <a:graphicData uri="http://schemas.openxmlformats.org/drawingml/2006/picture">
                <pic:pic>
                  <pic:nvPicPr>
                    <pic:cNvPr id="0" name="CU-10-actividades.png"/>
                    <pic:cNvPicPr/>
                  </pic:nvPicPr>
                  <pic:blipFill>
                    <a:blip r:embed="rId127"/>
                    <a:stretch>
                      <a:fillRect/>
                    </a:stretch>
                  </pic:blipFill>
                  <pic:spPr>
                    <a:xfrm>
                      <a:off x="0" y="0"/>
                      <a:ext cx="6141302" cy="4788000"/>
                    </a:xfrm>
                    <a:prstGeom prst="rect"/>
                  </pic:spPr>
                </pic:pic>
              </a:graphicData>
            </a:graphic>
          </wp:inline>
        </w:drawing>
      </w:r>
    </w:p>
    <w:p>
      <w:pPr>
        <w:jc w:val="center"/>
      </w:pPr>
      <w:r>
        <w:rPr>
          <w:i/>
          <w:sz w:val="18"/>
        </w:rPr>
        <w:t>Figura 67. Actividades del caso de uso CU-10, con sus caminos alternativos y de excepción.</w:t>
      </w:r>
    </w:p>
    <w:p>
      <w:pPr>
        <w:sectPr>
          <w:headerReference w:type="default" r:id="rId123"/>
          <w:footerReference w:type="default" r:id="rId124"/>
          <w:pgSz w:w="16838" w:h="11906" w:orient="landscape"/>
          <w:pgMar w:top="1361" w:right="1020" w:bottom="680" w:left="1020" w:header="720" w:footer="720" w:gutter="0"/>
          <w:cols w:space="720"/>
          <w:docGrid w:linePitch="360"/>
        </w:sectPr>
      </w:pPr>
    </w:p>
    <w:p>
      <w:pPr>
        <w:jc w:val="center"/>
      </w:pPr>
      <w:r>
        <w:drawing>
          <wp:inline xmlns:a="http://schemas.openxmlformats.org/drawingml/2006/main" xmlns:pic="http://schemas.openxmlformats.org/drawingml/2006/picture">
            <wp:extent cx="5760000" cy="5435493"/>
            <wp:docPr id="68" name="Picture 68"/>
            <wp:cNvGraphicFramePr>
              <a:graphicFrameLocks noChangeAspect="1"/>
            </wp:cNvGraphicFramePr>
            <a:graphic>
              <a:graphicData uri="http://schemas.openxmlformats.org/drawingml/2006/picture">
                <pic:pic>
                  <pic:nvPicPr>
                    <pic:cNvPr id="0" name="estado-DocumentoFinancieroERP.png"/>
                    <pic:cNvPicPr/>
                  </pic:nvPicPr>
                  <pic:blipFill>
                    <a:blip r:embed="rId130"/>
                    <a:stretch>
                      <a:fillRect/>
                    </a:stretch>
                  </pic:blipFill>
                  <pic:spPr>
                    <a:xfrm>
                      <a:off x="0" y="0"/>
                      <a:ext cx="5760000" cy="5435493"/>
                    </a:xfrm>
                    <a:prstGeom prst="rect"/>
                  </pic:spPr>
                </pic:pic>
              </a:graphicData>
            </a:graphic>
          </wp:inline>
        </w:drawing>
      </w:r>
    </w:p>
    <w:p>
      <w:pPr>
        <w:jc w:val="center"/>
      </w:pPr>
      <w:r>
        <w:rPr>
          <w:i/>
          <w:sz w:val="18"/>
        </w:rPr>
        <w:t>Figura 68. Estados de DocumentoFinancieroERP.</w:t>
      </w:r>
    </w:p>
    <w:p>
      <w:pPr>
        <w:pStyle w:val="Heading2"/>
      </w:pPr>
      <w:r>
        <w:t>Caso de Uso CU-11 Proponer y aprobar movimiento presupuestario</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3801753"/>
            <wp:docPr id="69" name="Picture 69"/>
            <wp:cNvGraphicFramePr>
              <a:graphicFrameLocks noChangeAspect="1"/>
            </wp:cNvGraphicFramePr>
            <a:graphic>
              <a:graphicData uri="http://schemas.openxmlformats.org/drawingml/2006/picture">
                <pic:pic>
                  <pic:nvPicPr>
                    <pic:cNvPr id="0" name="C4-CU11-contexto.png"/>
                    <pic:cNvPicPr/>
                  </pic:nvPicPr>
                  <pic:blipFill>
                    <a:blip r:embed="rId131"/>
                    <a:stretch>
                      <a:fillRect/>
                    </a:stretch>
                  </pic:blipFill>
                  <pic:spPr>
                    <a:xfrm>
                      <a:off x="0" y="0"/>
                      <a:ext cx="5760000" cy="3801753"/>
                    </a:xfrm>
                    <a:prstGeom prst="rect"/>
                  </pic:spPr>
                </pic:pic>
              </a:graphicData>
            </a:graphic>
          </wp:inline>
        </w:drawing>
      </w:r>
    </w:p>
    <w:p>
      <w:pPr>
        <w:jc w:val="center"/>
      </w:pPr>
      <w:r>
        <w:rPr>
          <w:i/>
          <w:sz w:val="18"/>
        </w:rPr>
        <w:t>Figura 69. Contexto C4 del caso de uso CU-11.</w:t>
      </w:r>
    </w:p>
    <w:p>
      <w:pPr>
        <w:jc w:val="center"/>
      </w:pPr>
      <w:r>
        <w:drawing>
          <wp:inline xmlns:a="http://schemas.openxmlformats.org/drawingml/2006/main" xmlns:pic="http://schemas.openxmlformats.org/drawingml/2006/picture">
            <wp:extent cx="5760000" cy="7266579"/>
            <wp:docPr id="70" name="Picture 70"/>
            <wp:cNvGraphicFramePr>
              <a:graphicFrameLocks noChangeAspect="1"/>
            </wp:cNvGraphicFramePr>
            <a:graphic>
              <a:graphicData uri="http://schemas.openxmlformats.org/drawingml/2006/picture">
                <pic:pic>
                  <pic:nvPicPr>
                    <pic:cNvPr id="0" name="C4-CU11-contenedores.png"/>
                    <pic:cNvPicPr/>
                  </pic:nvPicPr>
                  <pic:blipFill>
                    <a:blip r:embed="rId132"/>
                    <a:stretch>
                      <a:fillRect/>
                    </a:stretch>
                  </pic:blipFill>
                  <pic:spPr>
                    <a:xfrm>
                      <a:off x="0" y="0"/>
                      <a:ext cx="5760000" cy="7266579"/>
                    </a:xfrm>
                    <a:prstGeom prst="rect"/>
                  </pic:spPr>
                </pic:pic>
              </a:graphicData>
            </a:graphic>
          </wp:inline>
        </w:drawing>
      </w:r>
    </w:p>
    <w:p>
      <w:pPr>
        <w:jc w:val="center"/>
      </w:pPr>
      <w:r>
        <w:rPr>
          <w:i/>
          <w:sz w:val="18"/>
        </w:rPr>
        <w:t>Figura 70. Contenedores C4 que intervienen en CU-11.</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CU-11 Proponer y aprobar movimiento presupuestario</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Extiende CU-05 cuando la cantidad medida excede el saldo. El Responsable Técnico clasifica la causa del sobrecosto y, si es una adenda, propone un movimiento presupuestario (ampliación, deducción o variación de precio) sobre rubros o ítems, con motivo y respaldo. El Administrador lo aprueba internamente y registra la aceptación contractual del Cliente; solo con ambas aprobaciones el sistema genera una versión de presupuesto nueva y vigente, conserva la anterior y deja certificables las propuestas pendientes que el movimiento cubre.</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RF-06, RF-09, RF-19, RF-20, RF-21, RF-22, RNF-01, RNF-03, RNF-04, PR-01, PR-08</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Administrador, Responsable Técnico, Cliente</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La obra tiene una versión de presupuesto vigente.</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El movimiento queda registrado con tipo, objetivo, motivo, respaldo, efecto monetario, límite, importe utilizado y saldo, y con cada aprobación por separado.</w:t>
            </w:r>
            <w:r>
              <w:rPr>
                <w:rFonts w:ascii="Liberation Serif" w:hAnsi="Liberation Serif"/>
                <w:b w:val="0"/>
                <w:sz w:val="19"/>
              </w:rPr>
              <w:br/>
              <w:t>· Solo con la aprobación interna y la contractual el movimiento queda Vigente; la versión de presupuesto nueva rige y la anterior queda Reemplazada y consultable.</w:t>
            </w:r>
            <w:r>
              <w:rPr>
                <w:rFonts w:ascii="Liberation Serif" w:hAnsi="Liberation Serif"/>
                <w:b w:val="0"/>
                <w:sz w:val="19"/>
              </w:rPr>
              <w:br/>
              <w:t>· Las propuestas pendientes que el movimiento cubre quedan certificables en el siguiente borrador (CU-07).</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Selecciona la propuesta pendiente o el rubro o ítem y solicita proponer un movimiento.</w:t>
            </w:r>
          </w:p>
        </w:tc>
        <w:tc>
          <w:tcPr>
            <w:tcW w:type="dxa" w:w="2494"/>
            <w:gridSpan w:val="2"/>
          </w:tcPr>
          <w:p>
            <w:pPr>
              <w:spacing w:after="40"/>
            </w:pPr>
            <w:r/>
            <w:r>
              <w:rPr>
                <w:rFonts w:ascii="Liberation Serif" w:hAnsi="Liberation Serif"/>
                <w:b w:val="0"/>
                <w:sz w:val="19"/>
              </w:rPr>
              <w:t>Presenta los tipos ampliación, deducción y variación de precio, y el saldo vigente del objetivo.</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Clasifica la causa como adenda, indica tipo, objetivo, cantidad o precio y motivo, y adjunta el respaldo.</w:t>
            </w:r>
          </w:p>
        </w:tc>
        <w:tc>
          <w:tcPr>
            <w:tcW w:type="dxa" w:w="2494"/>
            <w:gridSpan w:val="2"/>
          </w:tcPr>
          <w:p>
            <w:pPr>
              <w:spacing w:after="40"/>
            </w:pPr>
            <w:r/>
            <w:r>
              <w:rPr>
                <w:rFonts w:ascii="Liberation Serif" w:hAnsi="Liberation Serif"/>
                <w:b w:val="0"/>
                <w:sz w:val="19"/>
              </w:rPr>
              <w:t>Calcula efecto monetario, límite, importe utilizado y saldo, y registra el movimiento como Propuesto.</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Revisa el movimiento propuesto.</w:t>
            </w:r>
          </w:p>
        </w:tc>
        <w:tc>
          <w:tcPr>
            <w:tcW w:type="dxa" w:w="2494"/>
            <w:gridSpan w:val="2"/>
          </w:tcPr>
          <w:p>
            <w:pPr>
              <w:spacing w:after="40"/>
            </w:pPr>
            <w:r/>
            <w:r>
              <w:rPr>
                <w:rFonts w:ascii="Liberation Serif" w:hAnsi="Liberation Serif"/>
                <w:b w:val="0"/>
                <w:sz w:val="19"/>
              </w:rPr>
              <w:t>Comprueba que los datos estén completos y dentro del límite.</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Aprueba internamente el movimiento.</w:t>
            </w:r>
          </w:p>
        </w:tc>
        <w:tc>
          <w:tcPr>
            <w:tcW w:type="dxa" w:w="2494"/>
            <w:gridSpan w:val="2"/>
          </w:tcPr>
          <w:p>
            <w:pPr>
              <w:spacing w:after="40"/>
            </w:pPr>
            <w:r/>
            <w:r>
              <w:rPr>
                <w:rFonts w:ascii="Liberation Serif" w:hAnsi="Liberation Serif"/>
                <w:b w:val="0"/>
                <w:sz w:val="19"/>
              </w:rPr>
              <w:t>Registra la aprobación interna con actor y fecha.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Informa la respuesta contractual del Cliente y adjunta su respaldo.</w:t>
            </w:r>
          </w:p>
        </w:tc>
        <w:tc>
          <w:tcPr>
            <w:tcW w:type="dxa" w:w="2494"/>
            <w:gridSpan w:val="2"/>
          </w:tcPr>
          <w:p>
            <w:pPr>
              <w:spacing w:after="40"/>
            </w:pPr>
            <w:r/>
            <w:r>
              <w:rPr>
                <w:rFonts w:ascii="Liberation Serif" w:hAnsi="Liberation Serif"/>
                <w:b w:val="0"/>
                <w:sz w:val="19"/>
              </w:rPr>
              <w:t>Conserva el respaldo y pide confirmar la aceptación contractual, que se registra por separado de la aprobación interna.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Confirma la aceptación contractual y solicita activar el movimiento.</w:t>
            </w:r>
          </w:p>
        </w:tc>
        <w:tc>
          <w:tcPr>
            <w:tcW w:type="dxa" w:w="2494"/>
            <w:gridSpan w:val="2"/>
          </w:tcPr>
          <w:p>
            <w:pPr>
              <w:spacing w:after="40"/>
            </w:pPr>
            <w:r/>
            <w:r>
              <w:rPr>
                <w:rFonts w:ascii="Liberation Serif" w:hAnsi="Liberation Serif"/>
                <w:b w:val="0"/>
                <w:sz w:val="19"/>
              </w:rPr>
              <w:t>Registra la aprobación contractual y, en una sola operación, genera la versión de presupuesto nueva que refleja el movimiento, la deja Vigente, pasa la anterior a Reemplazada y marca cubiertas las propuestas pendientes alcanzadas.</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1, RF-09). Sobrecosto por otra causa: el actor clasifica la propuesta pendiente como retrabajo, atraso, fallo o cambio; no se propone movimiento y el excedente no se certifica.</w:t>
            </w:r>
            <w:r>
              <w:rPr>
                <w:rFonts w:ascii="Liberation Serif" w:hAnsi="Liberation Serif"/>
                <w:b w:val="0"/>
                <w:sz w:val="19"/>
              </w:rPr>
              <w:br/>
              <w:t>A2 (paso 3). Rechazo interno: el Administrador rechaza el movimiento con su motivo; el sistema lo deja Rechazado y el presupuesto vigente no cambia.</w:t>
            </w:r>
            <w:r>
              <w:rPr>
                <w:rFonts w:ascii="Liberation Serif" w:hAnsi="Liberation Serif"/>
                <w:b w:val="0"/>
                <w:sz w:val="19"/>
              </w:rPr>
              <w:br/>
              <w:t>A3 (paso 5, RF-21). El Cliente no acepta: el Administrador registra el rechazo contractual; el sistema deja el movimiento Rechazado y el presupuesto vigente no cambia.</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3, RF-20). Datos incompletos o exceso sobre el límite sin excepción registrada: el sistema impide la aprobación interna e indica qué falta.</w:t>
            </w:r>
            <w:r>
              <w:rPr>
                <w:rFonts w:ascii="Liberation Serif" w:hAnsi="Liberation Serif"/>
                <w:b w:val="0"/>
                <w:sz w:val="19"/>
              </w:rPr>
              <w:br/>
              <w:t>E2 (RNF-03). Operación interrumpida: no queda una versión nueva activa sin las dos aprobaciones; el presupuesto vigente conserva su estado anterior.</w:t>
            </w:r>
            <w:r>
              <w:rPr>
                <w:rFonts w:ascii="Liberation Serif" w:hAnsi="Liberation Serif"/>
                <w:b w:val="0"/>
                <w:sz w:val="19"/>
              </w:rPr>
              <w:br/>
              <w:t>E3 (RNF-01). El actor no tiene rol vigente sobre la obra: el sistema deniega la operación.</w:t>
            </w:r>
          </w:p>
        </w:tc>
      </w:tr>
    </w:tbl>
    <w:p>
      <w:pPr>
        <w:sectPr>
          <w:headerReference w:type="default" r:id="rId128"/>
          <w:footerReference w:type="default" r:id="rId129"/>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7578008" cy="4788000"/>
            <wp:docPr id="71" name="Picture 71"/>
            <wp:cNvGraphicFramePr>
              <a:graphicFrameLocks noChangeAspect="1"/>
            </wp:cNvGraphicFramePr>
            <a:graphic>
              <a:graphicData uri="http://schemas.openxmlformats.org/drawingml/2006/picture">
                <pic:pic>
                  <pic:nvPicPr>
                    <pic:cNvPr id="0" name="CU-11-clases.png"/>
                    <pic:cNvPicPr/>
                  </pic:nvPicPr>
                  <pic:blipFill>
                    <a:blip r:embed="rId135"/>
                    <a:stretch>
                      <a:fillRect/>
                    </a:stretch>
                  </pic:blipFill>
                  <pic:spPr>
                    <a:xfrm>
                      <a:off x="0" y="0"/>
                      <a:ext cx="7578008" cy="4788000"/>
                    </a:xfrm>
                    <a:prstGeom prst="rect"/>
                  </pic:spPr>
                </pic:pic>
              </a:graphicData>
            </a:graphic>
          </wp:inline>
        </w:drawing>
      </w:r>
    </w:p>
    <w:p>
      <w:pPr>
        <w:jc w:val="center"/>
      </w:pPr>
      <w:r>
        <w:rPr>
          <w:i/>
          <w:sz w:val="18"/>
        </w:rPr>
        <w:t>Figura 71. Clases del caso de uso CU-11.</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7634820" cy="4788000"/>
            <wp:docPr id="72" name="Picture 72"/>
            <wp:cNvGraphicFramePr>
              <a:graphicFrameLocks noChangeAspect="1"/>
            </wp:cNvGraphicFramePr>
            <a:graphic>
              <a:graphicData uri="http://schemas.openxmlformats.org/drawingml/2006/picture">
                <pic:pic>
                  <pic:nvPicPr>
                    <pic:cNvPr id="0" name="CU-11-secuencia.png"/>
                    <pic:cNvPicPr/>
                  </pic:nvPicPr>
                  <pic:blipFill>
                    <a:blip r:embed="rId136"/>
                    <a:stretch>
                      <a:fillRect/>
                    </a:stretch>
                  </pic:blipFill>
                  <pic:spPr>
                    <a:xfrm>
                      <a:off x="0" y="0"/>
                      <a:ext cx="7634820" cy="4788000"/>
                    </a:xfrm>
                    <a:prstGeom prst="rect"/>
                  </pic:spPr>
                </pic:pic>
              </a:graphicData>
            </a:graphic>
          </wp:inline>
        </w:drawing>
      </w:r>
    </w:p>
    <w:p>
      <w:pPr>
        <w:jc w:val="center"/>
      </w:pPr>
      <w:r>
        <w:rPr>
          <w:i/>
          <w:sz w:val="18"/>
        </w:rPr>
        <w:t>Figura 72. Interacción del caso de uso CU-11.</w:t>
      </w:r>
    </w:p>
    <w:p>
      <w:pPr>
        <w:jc w:val="center"/>
      </w:pPr>
      <w:r>
        <w:drawing>
          <wp:inline xmlns:a="http://schemas.openxmlformats.org/drawingml/2006/main" xmlns:pic="http://schemas.openxmlformats.org/drawingml/2006/picture">
            <wp:extent cx="9000000" cy="1879791"/>
            <wp:docPr id="73" name="Picture 73"/>
            <wp:cNvGraphicFramePr>
              <a:graphicFrameLocks noChangeAspect="1"/>
            </wp:cNvGraphicFramePr>
            <a:graphic>
              <a:graphicData uri="http://schemas.openxmlformats.org/drawingml/2006/picture">
                <pic:pic>
                  <pic:nvPicPr>
                    <pic:cNvPr id="0" name="C4-CU11.png"/>
                    <pic:cNvPicPr/>
                  </pic:nvPicPr>
                  <pic:blipFill>
                    <a:blip r:embed="rId137"/>
                    <a:stretch>
                      <a:fillRect/>
                    </a:stretch>
                  </pic:blipFill>
                  <pic:spPr>
                    <a:xfrm>
                      <a:off x="0" y="0"/>
                      <a:ext cx="9000000" cy="1879791"/>
                    </a:xfrm>
                    <a:prstGeom prst="rect"/>
                  </pic:spPr>
                </pic:pic>
              </a:graphicData>
            </a:graphic>
          </wp:inline>
        </w:drawing>
      </w:r>
    </w:p>
    <w:p>
      <w:pPr>
        <w:jc w:val="center"/>
      </w:pPr>
      <w:r>
        <w:rPr>
          <w:i/>
          <w:sz w:val="18"/>
        </w:rPr>
        <w:t>Figura 73. Vista dinámica C4 de CU-11 entre componentes.</w:t>
      </w: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3420937" cy="4788000"/>
            <wp:docPr id="74" name="Picture 74"/>
            <wp:cNvGraphicFramePr>
              <a:graphicFrameLocks noChangeAspect="1"/>
            </wp:cNvGraphicFramePr>
            <a:graphic>
              <a:graphicData uri="http://schemas.openxmlformats.org/drawingml/2006/picture">
                <pic:pic>
                  <pic:nvPicPr>
                    <pic:cNvPr id="0" name="CU-11-actividades.png"/>
                    <pic:cNvPicPr/>
                  </pic:nvPicPr>
                  <pic:blipFill>
                    <a:blip r:embed="rId138"/>
                    <a:stretch>
                      <a:fillRect/>
                    </a:stretch>
                  </pic:blipFill>
                  <pic:spPr>
                    <a:xfrm>
                      <a:off x="0" y="0"/>
                      <a:ext cx="3420937" cy="4788000"/>
                    </a:xfrm>
                    <a:prstGeom prst="rect"/>
                  </pic:spPr>
                </pic:pic>
              </a:graphicData>
            </a:graphic>
          </wp:inline>
        </w:drawing>
      </w:r>
    </w:p>
    <w:p>
      <w:pPr>
        <w:jc w:val="center"/>
      </w:pPr>
      <w:r>
        <w:rPr>
          <w:i/>
          <w:sz w:val="18"/>
        </w:rPr>
        <w:t>Figura 74. Actividades del caso de uso CU-11, con sus caminos alternativos y de excepción.</w:t>
      </w:r>
    </w:p>
    <w:p>
      <w:pPr>
        <w:sectPr>
          <w:headerReference w:type="default" r:id="rId133"/>
          <w:footerReference w:type="default" r:id="rId134"/>
          <w:pgSz w:w="16838" w:h="11906" w:orient="landscape"/>
          <w:pgMar w:top="1361" w:right="1020" w:bottom="680" w:left="1020" w:header="720" w:footer="720" w:gutter="0"/>
          <w:cols w:space="720"/>
          <w:docGrid w:linePitch="360"/>
        </w:sectPr>
      </w:pPr>
    </w:p>
    <w:p>
      <w:pPr>
        <w:jc w:val="center"/>
      </w:pPr>
      <w:r>
        <w:drawing>
          <wp:inline xmlns:a="http://schemas.openxmlformats.org/drawingml/2006/main" xmlns:pic="http://schemas.openxmlformats.org/drawingml/2006/picture">
            <wp:extent cx="5760000" cy="5199170"/>
            <wp:docPr id="75" name="Picture 75"/>
            <wp:cNvGraphicFramePr>
              <a:graphicFrameLocks noChangeAspect="1"/>
            </wp:cNvGraphicFramePr>
            <a:graphic>
              <a:graphicData uri="http://schemas.openxmlformats.org/drawingml/2006/picture">
                <pic:pic>
                  <pic:nvPicPr>
                    <pic:cNvPr id="0" name="estado-MovimientoPresupuestario.png"/>
                    <pic:cNvPicPr/>
                  </pic:nvPicPr>
                  <pic:blipFill>
                    <a:blip r:embed="rId141"/>
                    <a:stretch>
                      <a:fillRect/>
                    </a:stretch>
                  </pic:blipFill>
                  <pic:spPr>
                    <a:xfrm>
                      <a:off x="0" y="0"/>
                      <a:ext cx="5760000" cy="5199170"/>
                    </a:xfrm>
                    <a:prstGeom prst="rect"/>
                  </pic:spPr>
                </pic:pic>
              </a:graphicData>
            </a:graphic>
          </wp:inline>
        </w:drawing>
      </w:r>
    </w:p>
    <w:p>
      <w:pPr>
        <w:jc w:val="center"/>
      </w:pPr>
      <w:r>
        <w:rPr>
          <w:i/>
          <w:sz w:val="18"/>
        </w:rPr>
        <w:t>Figura 75. Estados de MovimientoPresupuestario.</w:t>
      </w:r>
    </w:p>
    <w:p>
      <w:pPr>
        <w:spacing w:after="120"/>
      </w:pPr>
      <w:r>
        <w:rPr>
          <w:b w:val="0"/>
        </w:rPr>
        <w:t>Estados de VersionPresupuesto: este caso de uso dispara «crear en Propuesta», «confirmar estructura y activar», «activar versión posterior». Para no repetir la figura, la máquina de estados completa se presenta en CU-03 (Figura 23).</w:t>
      </w:r>
    </w:p>
    <w:p>
      <w:pPr>
        <w:pStyle w:val="Heading2"/>
      </w:pPr>
      <w:r>
        <w:t>Caso de Uso CU-12 Registrar contrato de subcontrato</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6948350"/>
            <wp:docPr id="76" name="Picture 76"/>
            <wp:cNvGraphicFramePr>
              <a:graphicFrameLocks noChangeAspect="1"/>
            </wp:cNvGraphicFramePr>
            <a:graphic>
              <a:graphicData uri="http://schemas.openxmlformats.org/drawingml/2006/picture">
                <pic:pic>
                  <pic:nvPicPr>
                    <pic:cNvPr id="0" name="C4-CU12-contexto.png"/>
                    <pic:cNvPicPr/>
                  </pic:nvPicPr>
                  <pic:blipFill>
                    <a:blip r:embed="rId142"/>
                    <a:stretch>
                      <a:fillRect/>
                    </a:stretch>
                  </pic:blipFill>
                  <pic:spPr>
                    <a:xfrm>
                      <a:off x="0" y="0"/>
                      <a:ext cx="5760000" cy="6948350"/>
                    </a:xfrm>
                    <a:prstGeom prst="rect"/>
                  </pic:spPr>
                </pic:pic>
              </a:graphicData>
            </a:graphic>
          </wp:inline>
        </w:drawing>
      </w:r>
    </w:p>
    <w:p>
      <w:pPr>
        <w:jc w:val="center"/>
      </w:pPr>
      <w:r>
        <w:rPr>
          <w:i/>
          <w:sz w:val="18"/>
        </w:rPr>
        <w:t>Figura 76. Contexto C4 del caso de uso CU-12.</w:t>
      </w:r>
    </w:p>
    <w:p>
      <w:pPr>
        <w:jc w:val="center"/>
      </w:pPr>
      <w:r>
        <w:drawing>
          <wp:inline xmlns:a="http://schemas.openxmlformats.org/drawingml/2006/main" xmlns:pic="http://schemas.openxmlformats.org/drawingml/2006/picture">
            <wp:extent cx="5760000" cy="12306040"/>
            <wp:docPr id="77" name="Picture 77"/>
            <wp:cNvGraphicFramePr>
              <a:graphicFrameLocks noChangeAspect="1"/>
            </wp:cNvGraphicFramePr>
            <a:graphic>
              <a:graphicData uri="http://schemas.openxmlformats.org/drawingml/2006/picture">
                <pic:pic>
                  <pic:nvPicPr>
                    <pic:cNvPr id="0" name="C4-CU12-contenedores.png"/>
                    <pic:cNvPicPr/>
                  </pic:nvPicPr>
                  <pic:blipFill>
                    <a:blip r:embed="rId143"/>
                    <a:stretch>
                      <a:fillRect/>
                    </a:stretch>
                  </pic:blipFill>
                  <pic:spPr>
                    <a:xfrm>
                      <a:off x="0" y="0"/>
                      <a:ext cx="5760000" cy="12306040"/>
                    </a:xfrm>
                    <a:prstGeom prst="rect"/>
                  </pic:spPr>
                </pic:pic>
              </a:graphicData>
            </a:graphic>
          </wp:inline>
        </w:drawing>
      </w:r>
    </w:p>
    <w:p>
      <w:pPr>
        <w:jc w:val="center"/>
      </w:pPr>
      <w:r>
        <w:rPr>
          <w:i/>
          <w:sz w:val="18"/>
        </w:rPr>
        <w:t>Figura 77. Contenedores C4 que intervienen en CU-12.</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CU-12 Registrar contrato de subcontrato</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Administrador registra el contrato de un subcontratista de la obra. El contrato legal se registra en el ERP, que es su dueño, y el sistema lo vincula en el ECMS con el alcance técnico de la obra: rubros, precios, límites, impuestos y retenciones.</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RF-23, RNF-01, RNF-04,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Administrador</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La obra tiene una versión de presupuesto vigente con los rubros y precios que abarca el contrato.</w:t>
            </w:r>
            <w:r>
              <w:rPr>
                <w:rFonts w:ascii="Liberation Serif" w:hAnsi="Liberation Serif"/>
                <w:b w:val="0"/>
                <w:sz w:val="19"/>
              </w:rPr>
              <w:br/>
              <w:t>· El subcontratista está registrado como socio de la organización.</w:t>
            </w:r>
            <w:r>
              <w:rPr>
                <w:rFonts w:ascii="Liberation Serif" w:hAnsi="Liberation Serif"/>
                <w:b w:val="0"/>
                <w:sz w:val="19"/>
              </w:rPr>
              <w:br/>
              <w:t>· El actor tiene rol admin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El subcontrato queda registrado con número, monto, modalidad y estado, vinculado a la obra, al socio y a su alcance técnico.</w:t>
            </w:r>
            <w:r>
              <w:rPr>
                <w:rFonts w:ascii="Liberation Serif" w:hAnsi="Liberation Serif"/>
                <w:b w:val="0"/>
                <w:sz w:val="19"/>
              </w:rPr>
              <w:br/>
              <w:t>· El contrato legal queda registrado en el ERP y relacionado con el subcontrato del ECMS.</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Selecciona la obra y solicita registrar un subcontrato.</w:t>
            </w:r>
          </w:p>
        </w:tc>
        <w:tc>
          <w:tcPr>
            <w:tcW w:type="dxa" w:w="2494"/>
            <w:gridSpan w:val="2"/>
          </w:tcPr>
          <w:p>
            <w:pPr>
              <w:spacing w:after="40"/>
            </w:pPr>
            <w:r/>
            <w:r>
              <w:rPr>
                <w:rFonts w:ascii="Liberation Serif" w:hAnsi="Liberation Serif"/>
                <w:b w:val="0"/>
                <w:sz w:val="19"/>
              </w:rPr>
              <w:t>Presenta los socios de la organización y los rubros e ítems de la versión vigente.</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Elige el socio e indica número, monto, modalidad, rubros alcanzados, precios, límites, impuestos y retenciones.</w:t>
            </w:r>
          </w:p>
        </w:tc>
        <w:tc>
          <w:tcPr>
            <w:tcW w:type="dxa" w:w="2494"/>
            <w:gridSpan w:val="2"/>
          </w:tcPr>
          <w:p>
            <w:pPr>
              <w:spacing w:after="40"/>
            </w:pPr>
            <w:r/>
            <w:r>
              <w:rPr>
                <w:rFonts w:ascii="Liberation Serif" w:hAnsi="Liberation Serif"/>
                <w:b w:val="0"/>
                <w:sz w:val="19"/>
              </w:rPr>
              <w:t>Comprueba que los rubros pertenezcan a la versión vigente y que el número no esté registrado en la obra.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Confirma el registro.</w:t>
            </w:r>
          </w:p>
        </w:tc>
        <w:tc>
          <w:tcPr>
            <w:tcW w:type="dxa" w:w="2494"/>
            <w:gridSpan w:val="2"/>
          </w:tcPr>
          <w:p>
            <w:pPr>
              <w:spacing w:after="40"/>
            </w:pPr>
            <w:r/>
            <w:r>
              <w:rPr>
                <w:rFonts w:ascii="Liberation Serif" w:hAnsi="Liberation Serif"/>
                <w:b w:val="0"/>
                <w:sz w:val="19"/>
              </w:rPr>
              <w:t>Registra el subcontrato vinculado a su alcance técnico y publica el evento para que el ERP registre el contrato legal.</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2, RF-23). Rubro ajeno a la versión vigente o número repetido: el sistema no registra el subcontrato e indica el dato a corregir.</w:t>
            </w:r>
            <w:r>
              <w:rPr>
                <w:rFonts w:ascii="Liberation Serif" w:hAnsi="Liberation Serif"/>
                <w:b w:val="0"/>
                <w:sz w:val="19"/>
              </w:rPr>
              <w:br/>
              <w:t>E2 (RNF-01). El actor no tiene rol admin vigente sobre la obra: el sistema deniega el registro.</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3573359"/>
            <wp:docPr id="78" name="Picture 78"/>
            <wp:cNvGraphicFramePr>
              <a:graphicFrameLocks noChangeAspect="1"/>
            </wp:cNvGraphicFramePr>
            <a:graphic>
              <a:graphicData uri="http://schemas.openxmlformats.org/drawingml/2006/picture">
                <pic:pic>
                  <pic:nvPicPr>
                    <pic:cNvPr id="0" name="CU-12-clases.png"/>
                    <pic:cNvPicPr/>
                  </pic:nvPicPr>
                  <pic:blipFill>
                    <a:blip r:embed="rId144"/>
                    <a:stretch>
                      <a:fillRect/>
                    </a:stretch>
                  </pic:blipFill>
                  <pic:spPr>
                    <a:xfrm>
                      <a:off x="0" y="0"/>
                      <a:ext cx="5760000" cy="3573359"/>
                    </a:xfrm>
                    <a:prstGeom prst="rect"/>
                  </pic:spPr>
                </pic:pic>
              </a:graphicData>
            </a:graphic>
          </wp:inline>
        </w:drawing>
      </w:r>
    </w:p>
    <w:p>
      <w:pPr>
        <w:jc w:val="center"/>
      </w:pPr>
      <w:r>
        <w:rPr>
          <w:i/>
          <w:sz w:val="18"/>
        </w:rPr>
        <w:t>Figura 78. Clases del caso de uso CU-12.</w:t>
      </w:r>
    </w:p>
    <w:p>
      <w:pPr>
        <w:sectPr>
          <w:headerReference w:type="default" r:id="rId139"/>
          <w:footerReference w:type="default" r:id="rId140"/>
          <w:pgSz w:w="11906" w:h="16838"/>
          <w:pgMar w:top="1247" w:right="1417" w:bottom="1247" w:left="1417"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4025739"/>
            <wp:docPr id="79" name="Picture 79"/>
            <wp:cNvGraphicFramePr>
              <a:graphicFrameLocks noChangeAspect="1"/>
            </wp:cNvGraphicFramePr>
            <a:graphic>
              <a:graphicData uri="http://schemas.openxmlformats.org/drawingml/2006/picture">
                <pic:pic>
                  <pic:nvPicPr>
                    <pic:cNvPr id="0" name="CU-12-secuencia.png"/>
                    <pic:cNvPicPr/>
                  </pic:nvPicPr>
                  <pic:blipFill>
                    <a:blip r:embed="rId147"/>
                    <a:stretch>
                      <a:fillRect/>
                    </a:stretch>
                  </pic:blipFill>
                  <pic:spPr>
                    <a:xfrm>
                      <a:off x="0" y="0"/>
                      <a:ext cx="9000000" cy="4025739"/>
                    </a:xfrm>
                    <a:prstGeom prst="rect"/>
                  </pic:spPr>
                </pic:pic>
              </a:graphicData>
            </a:graphic>
          </wp:inline>
        </w:drawing>
      </w:r>
    </w:p>
    <w:p>
      <w:pPr>
        <w:jc w:val="center"/>
      </w:pPr>
      <w:r>
        <w:rPr>
          <w:i/>
          <w:sz w:val="18"/>
        </w:rPr>
        <w:t>Figura 79. Interacción del caso de uso CU-12.</w:t>
      </w:r>
    </w:p>
    <w:p>
      <w:pPr>
        <w:jc w:val="center"/>
      </w:pPr>
      <w:r>
        <w:drawing>
          <wp:inline xmlns:a="http://schemas.openxmlformats.org/drawingml/2006/main" xmlns:pic="http://schemas.openxmlformats.org/drawingml/2006/picture">
            <wp:extent cx="9000000" cy="5048176"/>
            <wp:docPr id="80" name="Picture 80"/>
            <wp:cNvGraphicFramePr>
              <a:graphicFrameLocks noChangeAspect="1"/>
            </wp:cNvGraphicFramePr>
            <a:graphic>
              <a:graphicData uri="http://schemas.openxmlformats.org/drawingml/2006/picture">
                <pic:pic>
                  <pic:nvPicPr>
                    <pic:cNvPr id="0" name="C4-CU12.png"/>
                    <pic:cNvPicPr/>
                  </pic:nvPicPr>
                  <pic:blipFill>
                    <a:blip r:embed="rId148"/>
                    <a:stretch>
                      <a:fillRect/>
                    </a:stretch>
                  </pic:blipFill>
                  <pic:spPr>
                    <a:xfrm>
                      <a:off x="0" y="0"/>
                      <a:ext cx="9000000" cy="5048176"/>
                    </a:xfrm>
                    <a:prstGeom prst="rect"/>
                  </pic:spPr>
                </pic:pic>
              </a:graphicData>
            </a:graphic>
          </wp:inline>
        </w:drawing>
      </w:r>
    </w:p>
    <w:p>
      <w:pPr>
        <w:jc w:val="center"/>
      </w:pPr>
      <w:r>
        <w:rPr>
          <w:i/>
          <w:sz w:val="18"/>
        </w:rPr>
        <w:t>Figura 80. Vista dinámica C4 de CU-12 entre componentes.</w:t>
      </w:r>
    </w:p>
    <w:p>
      <w:pPr>
        <w:sectPr>
          <w:headerReference w:type="default" r:id="rId145"/>
          <w:footerReference w:type="default" r:id="rId146"/>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4374055"/>
            <wp:docPr id="81" name="Picture 81"/>
            <wp:cNvGraphicFramePr>
              <a:graphicFrameLocks noChangeAspect="1"/>
            </wp:cNvGraphicFramePr>
            <a:graphic>
              <a:graphicData uri="http://schemas.openxmlformats.org/drawingml/2006/picture">
                <pic:pic>
                  <pic:nvPicPr>
                    <pic:cNvPr id="0" name="CU-12-actividades.png"/>
                    <pic:cNvPicPr/>
                  </pic:nvPicPr>
                  <pic:blipFill>
                    <a:blip r:embed="rId151"/>
                    <a:stretch>
                      <a:fillRect/>
                    </a:stretch>
                  </pic:blipFill>
                  <pic:spPr>
                    <a:xfrm>
                      <a:off x="0" y="0"/>
                      <a:ext cx="5760000" cy="4374055"/>
                    </a:xfrm>
                    <a:prstGeom prst="rect"/>
                  </pic:spPr>
                </pic:pic>
              </a:graphicData>
            </a:graphic>
          </wp:inline>
        </w:drawing>
      </w:r>
    </w:p>
    <w:p>
      <w:pPr>
        <w:jc w:val="center"/>
      </w:pPr>
      <w:r>
        <w:rPr>
          <w:i/>
          <w:sz w:val="18"/>
        </w:rPr>
        <w:t>Figura 81. Actividades del caso de uso CU-12, con sus caminos alternativos y de excepción.</w:t>
      </w:r>
    </w:p>
    <w:p>
      <w:pPr>
        <w:pStyle w:val="Heading2"/>
      </w:pPr>
      <w:r>
        <w:t>Caso de Uso CU-13 Consultar estado del subcontrato</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7482353"/>
            <wp:docPr id="82" name="Picture 82"/>
            <wp:cNvGraphicFramePr>
              <a:graphicFrameLocks noChangeAspect="1"/>
            </wp:cNvGraphicFramePr>
            <a:graphic>
              <a:graphicData uri="http://schemas.openxmlformats.org/drawingml/2006/picture">
                <pic:pic>
                  <pic:nvPicPr>
                    <pic:cNvPr id="0" name="C4-CU13-contexto.png"/>
                    <pic:cNvPicPr/>
                  </pic:nvPicPr>
                  <pic:blipFill>
                    <a:blip r:embed="rId152"/>
                    <a:stretch>
                      <a:fillRect/>
                    </a:stretch>
                  </pic:blipFill>
                  <pic:spPr>
                    <a:xfrm>
                      <a:off x="0" y="0"/>
                      <a:ext cx="5760000" cy="7482353"/>
                    </a:xfrm>
                    <a:prstGeom prst="rect"/>
                  </pic:spPr>
                </pic:pic>
              </a:graphicData>
            </a:graphic>
          </wp:inline>
        </w:drawing>
      </w:r>
    </w:p>
    <w:p>
      <w:pPr>
        <w:jc w:val="center"/>
      </w:pPr>
      <w:r>
        <w:rPr>
          <w:i/>
          <w:sz w:val="18"/>
        </w:rPr>
        <w:t>Figura 82. Contexto C4 del caso de uso CU-13.</w:t>
      </w:r>
    </w:p>
    <w:p>
      <w:pPr>
        <w:jc w:val="center"/>
      </w:pPr>
      <w:r>
        <w:drawing>
          <wp:inline xmlns:a="http://schemas.openxmlformats.org/drawingml/2006/main" xmlns:pic="http://schemas.openxmlformats.org/drawingml/2006/picture">
            <wp:extent cx="5760000" cy="12846230"/>
            <wp:docPr id="83" name="Picture 83"/>
            <wp:cNvGraphicFramePr>
              <a:graphicFrameLocks noChangeAspect="1"/>
            </wp:cNvGraphicFramePr>
            <a:graphic>
              <a:graphicData uri="http://schemas.openxmlformats.org/drawingml/2006/picture">
                <pic:pic>
                  <pic:nvPicPr>
                    <pic:cNvPr id="0" name="C4-CU13-contenedores.png"/>
                    <pic:cNvPicPr/>
                  </pic:nvPicPr>
                  <pic:blipFill>
                    <a:blip r:embed="rId153"/>
                    <a:stretch>
                      <a:fillRect/>
                    </a:stretch>
                  </pic:blipFill>
                  <pic:spPr>
                    <a:xfrm>
                      <a:off x="0" y="0"/>
                      <a:ext cx="5760000" cy="12846230"/>
                    </a:xfrm>
                    <a:prstGeom prst="rect"/>
                  </pic:spPr>
                </pic:pic>
              </a:graphicData>
            </a:graphic>
          </wp:inline>
        </w:drawing>
      </w:r>
    </w:p>
    <w:p>
      <w:pPr>
        <w:jc w:val="center"/>
      </w:pPr>
      <w:r>
        <w:rPr>
          <w:i/>
          <w:sz w:val="18"/>
        </w:rPr>
        <w:t>Figura 83. Contenedores C4 que intervienen en CU-13.</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CU-13 Consultar estado del subcontrato</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Subcontratista consulta el estado de su contrato: las mediciones de su trabajo, los certificados de subcontrato con sus valorizaciones y los saldos. La vista se limita a su contrato y no muestra presupuestos internos, márgenes, salarios ni otros contratos.</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RF-24, RNF-01, RNF-02, RNF-04, PR-01</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Subcontratista</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El actor accede como subcontratista a un contrato de subcontrato registrado.</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El actor ve solo los datos de su contrato.</w:t>
            </w:r>
            <w:r>
              <w:rPr>
                <w:rFonts w:ascii="Liberation Serif" w:hAnsi="Liberation Serif"/>
                <w:b w:val="0"/>
                <w:sz w:val="19"/>
              </w:rPr>
              <w:br/>
              <w:t>· No se modifica ningún registro.</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Subcontratista</w:t>
            </w:r>
          </w:p>
        </w:tc>
        <w:tc>
          <w:tcPr>
            <w:tcW w:type="dxa" w:w="3402"/>
          </w:tcPr>
          <w:p>
            <w:pPr>
              <w:spacing w:after="40"/>
            </w:pPr>
            <w:r/>
            <w:r>
              <w:rPr>
                <w:rFonts w:ascii="Liberation Serif" w:hAnsi="Liberation Serif"/>
                <w:b w:val="0"/>
                <w:sz w:val="19"/>
              </w:rPr>
              <w:t>Ingresa y selecciona su contrato.</w:t>
            </w:r>
          </w:p>
        </w:tc>
        <w:tc>
          <w:tcPr>
            <w:tcW w:type="dxa" w:w="2494"/>
            <w:gridSpan w:val="2"/>
          </w:tcPr>
          <w:p>
            <w:pPr>
              <w:spacing w:after="40"/>
            </w:pPr>
            <w:r/>
            <w:r>
              <w:rPr>
                <w:rFonts w:ascii="Liberation Serif" w:hAnsi="Liberation Serif"/>
                <w:b w:val="0"/>
                <w:sz w:val="19"/>
              </w:rPr>
              <w:t>Comprueba que el contrato pertenezca al socio del actor y presenta su número, monto, modalidad y estado.</w:t>
            </w:r>
          </w:p>
        </w:tc>
      </w:tr>
      <w:tr>
        <w:tc>
          <w:tcPr>
            <w:tcW w:type="dxa" w:w="1928"/>
          </w:tcPr>
          <w:p>
            <w:pPr>
              <w:spacing w:after="40"/>
            </w:pPr>
            <w:r/>
            <w:r>
              <w:rPr>
                <w:rFonts w:ascii="Liberation Serif" w:hAnsi="Liberation Serif"/>
                <w:b w:val="0"/>
                <w:sz w:val="19"/>
              </w:rPr>
              <w:t>Subcontratista</w:t>
            </w:r>
          </w:p>
        </w:tc>
        <w:tc>
          <w:tcPr>
            <w:tcW w:type="dxa" w:w="3402"/>
          </w:tcPr>
          <w:p>
            <w:pPr>
              <w:spacing w:after="40"/>
            </w:pPr>
            <w:r/>
            <w:r>
              <w:rPr>
                <w:rFonts w:ascii="Liberation Serif" w:hAnsi="Liberation Serif"/>
                <w:b w:val="0"/>
                <w:sz w:val="19"/>
              </w:rPr>
              <w:t>Consulta las mediciones de su trabajo.</w:t>
            </w:r>
          </w:p>
        </w:tc>
        <w:tc>
          <w:tcPr>
            <w:tcW w:type="dxa" w:w="2494"/>
            <w:gridSpan w:val="2"/>
          </w:tcPr>
          <w:p>
            <w:pPr>
              <w:spacing w:after="40"/>
            </w:pPr>
            <w:r/>
            <w:r>
              <w:rPr>
                <w:rFonts w:ascii="Liberation Serif" w:hAnsi="Liberation Serif"/>
                <w:b w:val="0"/>
                <w:sz w:val="19"/>
              </w:rPr>
              <w:t>Lista las mediciones del contrato con ejecutor subcontratado, con cantidad, período y estado.</w:t>
            </w:r>
          </w:p>
        </w:tc>
      </w:tr>
      <w:tr>
        <w:tc>
          <w:tcPr>
            <w:tcW w:type="dxa" w:w="1928"/>
          </w:tcPr>
          <w:p>
            <w:pPr>
              <w:spacing w:after="40"/>
            </w:pPr>
            <w:r/>
            <w:r>
              <w:rPr>
                <w:rFonts w:ascii="Liberation Serif" w:hAnsi="Liberation Serif"/>
                <w:b w:val="0"/>
                <w:sz w:val="19"/>
              </w:rPr>
              <w:t>Subcontratista</w:t>
            </w:r>
          </w:p>
        </w:tc>
        <w:tc>
          <w:tcPr>
            <w:tcW w:type="dxa" w:w="3402"/>
          </w:tcPr>
          <w:p>
            <w:pPr>
              <w:spacing w:after="40"/>
            </w:pPr>
            <w:r/>
            <w:r>
              <w:rPr>
                <w:rFonts w:ascii="Liberation Serif" w:hAnsi="Liberation Serif"/>
                <w:b w:val="0"/>
                <w:sz w:val="19"/>
              </w:rPr>
              <w:t>Consulta los certificados y las valorizaciones.</w:t>
            </w:r>
          </w:p>
        </w:tc>
        <w:tc>
          <w:tcPr>
            <w:tcW w:type="dxa" w:w="2494"/>
            <w:gridSpan w:val="2"/>
          </w:tcPr>
          <w:p>
            <w:pPr>
              <w:spacing w:after="40"/>
            </w:pPr>
            <w:r/>
            <w:r>
              <w:rPr>
                <w:rFonts w:ascii="Liberation Serif" w:hAnsi="Liberation Serif"/>
                <w:b w:val="0"/>
                <w:sz w:val="19"/>
              </w:rPr>
              <w:t>Muestra los certificados de subcontrato con su valorización, el monto certificado y el saldo certificable.</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1, RNF-02). Contrato ajeno: el contrato no pertenece al socio del actor; el sistema deniega la consulta y registra el intento.</w:t>
            </w:r>
            <w:r>
              <w:rPr>
                <w:rFonts w:ascii="Liberation Serif" w:hAnsi="Liberation Serif"/>
                <w:b w:val="0"/>
                <w:sz w:val="19"/>
              </w:rPr>
              <w:br/>
              <w:t>E2 (RNF-01). El actor no tiene acceso vigente: el sistema deniega la consulta.</w:t>
            </w:r>
          </w:p>
        </w:tc>
      </w:tr>
    </w:tbl>
    <w:p>
      <w:pPr>
        <w:sectPr>
          <w:headerReference w:type="default" r:id="rId149"/>
          <w:footerReference w:type="default" r:id="rId150"/>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7626232" cy="4788000"/>
            <wp:docPr id="84" name="Picture 84"/>
            <wp:cNvGraphicFramePr>
              <a:graphicFrameLocks noChangeAspect="1"/>
            </wp:cNvGraphicFramePr>
            <a:graphic>
              <a:graphicData uri="http://schemas.openxmlformats.org/drawingml/2006/picture">
                <pic:pic>
                  <pic:nvPicPr>
                    <pic:cNvPr id="0" name="CU-13-clases.png"/>
                    <pic:cNvPicPr/>
                  </pic:nvPicPr>
                  <pic:blipFill>
                    <a:blip r:embed="rId156"/>
                    <a:stretch>
                      <a:fillRect/>
                    </a:stretch>
                  </pic:blipFill>
                  <pic:spPr>
                    <a:xfrm>
                      <a:off x="0" y="0"/>
                      <a:ext cx="7626232" cy="4788000"/>
                    </a:xfrm>
                    <a:prstGeom prst="rect"/>
                  </pic:spPr>
                </pic:pic>
              </a:graphicData>
            </a:graphic>
          </wp:inline>
        </w:drawing>
      </w:r>
    </w:p>
    <w:p>
      <w:pPr>
        <w:jc w:val="center"/>
      </w:pPr>
      <w:r>
        <w:rPr>
          <w:i/>
          <w:sz w:val="18"/>
        </w:rPr>
        <w:t>Figura 84. Clases del caso de uso CU-13.</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4365133"/>
            <wp:docPr id="85" name="Picture 85"/>
            <wp:cNvGraphicFramePr>
              <a:graphicFrameLocks noChangeAspect="1"/>
            </wp:cNvGraphicFramePr>
            <a:graphic>
              <a:graphicData uri="http://schemas.openxmlformats.org/drawingml/2006/picture">
                <pic:pic>
                  <pic:nvPicPr>
                    <pic:cNvPr id="0" name="CU-13-secuencia.png"/>
                    <pic:cNvPicPr/>
                  </pic:nvPicPr>
                  <pic:blipFill>
                    <a:blip r:embed="rId157"/>
                    <a:stretch>
                      <a:fillRect/>
                    </a:stretch>
                  </pic:blipFill>
                  <pic:spPr>
                    <a:xfrm>
                      <a:off x="0" y="0"/>
                      <a:ext cx="9000000" cy="4365133"/>
                    </a:xfrm>
                    <a:prstGeom prst="rect"/>
                  </pic:spPr>
                </pic:pic>
              </a:graphicData>
            </a:graphic>
          </wp:inline>
        </w:drawing>
      </w:r>
    </w:p>
    <w:p>
      <w:pPr>
        <w:jc w:val="center"/>
      </w:pPr>
      <w:r>
        <w:rPr>
          <w:i/>
          <w:sz w:val="18"/>
        </w:rPr>
        <w:t>Figura 85. Interacción del caso de uso CU-13.</w:t>
      </w:r>
    </w:p>
    <w:p>
      <w:pPr>
        <w:jc w:val="center"/>
      </w:pPr>
      <w:r>
        <w:drawing>
          <wp:inline xmlns:a="http://schemas.openxmlformats.org/drawingml/2006/main" xmlns:pic="http://schemas.openxmlformats.org/drawingml/2006/picture">
            <wp:extent cx="9000000" cy="5143825"/>
            <wp:docPr id="86" name="Picture 86"/>
            <wp:cNvGraphicFramePr>
              <a:graphicFrameLocks noChangeAspect="1"/>
            </wp:cNvGraphicFramePr>
            <a:graphic>
              <a:graphicData uri="http://schemas.openxmlformats.org/drawingml/2006/picture">
                <pic:pic>
                  <pic:nvPicPr>
                    <pic:cNvPr id="0" name="C4-CU13.png"/>
                    <pic:cNvPicPr/>
                  </pic:nvPicPr>
                  <pic:blipFill>
                    <a:blip r:embed="rId158"/>
                    <a:stretch>
                      <a:fillRect/>
                    </a:stretch>
                  </pic:blipFill>
                  <pic:spPr>
                    <a:xfrm>
                      <a:off x="0" y="0"/>
                      <a:ext cx="9000000" cy="5143825"/>
                    </a:xfrm>
                    <a:prstGeom prst="rect"/>
                  </pic:spPr>
                </pic:pic>
              </a:graphicData>
            </a:graphic>
          </wp:inline>
        </w:drawing>
      </w:r>
    </w:p>
    <w:p>
      <w:pPr>
        <w:jc w:val="center"/>
      </w:pPr>
      <w:r>
        <w:rPr>
          <w:i/>
          <w:sz w:val="18"/>
        </w:rPr>
        <w:t>Figura 86. Vista dinámica C4 de CU-13 entre componentes.</w:t>
      </w:r>
    </w:p>
    <w:p>
      <w:pPr>
        <w:sectPr>
          <w:headerReference w:type="default" r:id="rId154"/>
          <w:footerReference w:type="default" r:id="rId155"/>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4736790"/>
            <wp:docPr id="87" name="Picture 87"/>
            <wp:cNvGraphicFramePr>
              <a:graphicFrameLocks noChangeAspect="1"/>
            </wp:cNvGraphicFramePr>
            <a:graphic>
              <a:graphicData uri="http://schemas.openxmlformats.org/drawingml/2006/picture">
                <pic:pic>
                  <pic:nvPicPr>
                    <pic:cNvPr id="0" name="CU-13-actividades.png"/>
                    <pic:cNvPicPr/>
                  </pic:nvPicPr>
                  <pic:blipFill>
                    <a:blip r:embed="rId161"/>
                    <a:stretch>
                      <a:fillRect/>
                    </a:stretch>
                  </pic:blipFill>
                  <pic:spPr>
                    <a:xfrm>
                      <a:off x="0" y="0"/>
                      <a:ext cx="5760000" cy="4736790"/>
                    </a:xfrm>
                    <a:prstGeom prst="rect"/>
                  </pic:spPr>
                </pic:pic>
              </a:graphicData>
            </a:graphic>
          </wp:inline>
        </w:drawing>
      </w:r>
    </w:p>
    <w:p>
      <w:pPr>
        <w:jc w:val="center"/>
      </w:pPr>
      <w:r>
        <w:rPr>
          <w:i/>
          <w:sz w:val="18"/>
        </w:rPr>
        <w:t>Figura 87. Actividades del caso de uso CU-13, con sus caminos alternativos y de excepción.</w:t>
      </w:r>
    </w:p>
    <w:p>
      <w:pPr>
        <w:pStyle w:val="Heading2"/>
      </w:pPr>
      <w:r>
        <w:t>Caso de Uso CU-14 Certificar y valorizar subcontrato</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9082584"/>
            <wp:docPr id="88" name="Picture 88"/>
            <wp:cNvGraphicFramePr>
              <a:graphicFrameLocks noChangeAspect="1"/>
            </wp:cNvGraphicFramePr>
            <a:graphic>
              <a:graphicData uri="http://schemas.openxmlformats.org/drawingml/2006/picture">
                <pic:pic>
                  <pic:nvPicPr>
                    <pic:cNvPr id="0" name="C4-CU14-contexto.png"/>
                    <pic:cNvPicPr/>
                  </pic:nvPicPr>
                  <pic:blipFill>
                    <a:blip r:embed="rId162"/>
                    <a:stretch>
                      <a:fillRect/>
                    </a:stretch>
                  </pic:blipFill>
                  <pic:spPr>
                    <a:xfrm>
                      <a:off x="0" y="0"/>
                      <a:ext cx="5760000" cy="9082584"/>
                    </a:xfrm>
                    <a:prstGeom prst="rect"/>
                  </pic:spPr>
                </pic:pic>
              </a:graphicData>
            </a:graphic>
          </wp:inline>
        </w:drawing>
      </w:r>
    </w:p>
    <w:p>
      <w:pPr>
        <w:jc w:val="center"/>
      </w:pPr>
      <w:r>
        <w:rPr>
          <w:i/>
          <w:sz w:val="18"/>
        </w:rPr>
        <w:t>Figura 88. Contexto C4 del caso de uso CU-14.</w:t>
      </w:r>
    </w:p>
    <w:p>
      <w:pPr>
        <w:jc w:val="center"/>
      </w:pPr>
      <w:r>
        <w:drawing>
          <wp:inline xmlns:a="http://schemas.openxmlformats.org/drawingml/2006/main" xmlns:pic="http://schemas.openxmlformats.org/drawingml/2006/picture">
            <wp:extent cx="5760000" cy="10860458"/>
            <wp:docPr id="89" name="Picture 89"/>
            <wp:cNvGraphicFramePr>
              <a:graphicFrameLocks noChangeAspect="1"/>
            </wp:cNvGraphicFramePr>
            <a:graphic>
              <a:graphicData uri="http://schemas.openxmlformats.org/drawingml/2006/picture">
                <pic:pic>
                  <pic:nvPicPr>
                    <pic:cNvPr id="0" name="C4-CU14-contenedores.png"/>
                    <pic:cNvPicPr/>
                  </pic:nvPicPr>
                  <pic:blipFill>
                    <a:blip r:embed="rId163"/>
                    <a:stretch>
                      <a:fillRect/>
                    </a:stretch>
                  </pic:blipFill>
                  <pic:spPr>
                    <a:xfrm>
                      <a:off x="0" y="0"/>
                      <a:ext cx="5760000" cy="10860458"/>
                    </a:xfrm>
                    <a:prstGeom prst="rect"/>
                  </pic:spPr>
                </pic:pic>
              </a:graphicData>
            </a:graphic>
          </wp:inline>
        </w:drawing>
      </w:r>
    </w:p>
    <w:p>
      <w:pPr>
        <w:jc w:val="center"/>
      </w:pPr>
      <w:r>
        <w:rPr>
          <w:i/>
          <w:sz w:val="18"/>
        </w:rPr>
        <w:t>Figura 89. Contenedores C4 que intervienen en CU-14.</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CU-14 Certificar y valorizar subcontrato</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Incluye CU-10. El Responsable Técnico certifica el trabajo de un subcontratista a partir de las mediciones aprobadas con ejecutor subcontratado. El sistema valoriza el certificado de subcontrato con los precios del contrato, registra esa valorización en el control de costos del ECMS sin cambiar el precio de venta al cliente, lo emite y lo envía al ERP para el proceso de pago. El Subcontratista ve el certificado emitido de su contrato.</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RF-10, RF-25, RNF-01, RNF-02, RNF-04, RNF-06, RNF-08, RNF-12, PR-01, PR-03, PR-05, PR-06</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Responsable Técnico, Subcontratista, Motor ERP</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El subcontrato está registrado (CU-12).</w:t>
            </w:r>
            <w:r>
              <w:rPr>
                <w:rFonts w:ascii="Liberation Serif" w:hAnsi="Liberation Serif"/>
                <w:b w:val="0"/>
                <w:sz w:val="19"/>
              </w:rPr>
              <w:br/>
              <w:t>· Existen mediciones aprobadas con ejecutor subcontratado dentro del alcance del contrato.</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Queda un certificado de subcontrato Emitido con su valorización contractual, presentada por separado del costo analítico y del precio de venta.</w:t>
            </w:r>
            <w:r>
              <w:rPr>
                <w:rFonts w:ascii="Liberation Serif" w:hAnsi="Liberation Serif"/>
                <w:b w:val="0"/>
                <w:sz w:val="19"/>
              </w:rPr>
              <w:br/>
              <w:t>· El evento de certificado emitido queda publicado para que el ERP registre el pago (CU-10).</w:t>
            </w:r>
            <w:r>
              <w:rPr>
                <w:rFonts w:ascii="Liberation Serif" w:hAnsi="Liberation Serif"/>
                <w:b w:val="0"/>
                <w:sz w:val="19"/>
              </w:rPr>
              <w:br/>
              <w:t>· {'El acumulado físico del ítem no cambia': 'la medición ya se contó una sola vez al aprobarse en CU-05.'}</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Selecciona el subcontrato y el período.</w:t>
            </w:r>
          </w:p>
        </w:tc>
        <w:tc>
          <w:tcPr>
            <w:tcW w:type="dxa" w:w="2494"/>
            <w:gridSpan w:val="2"/>
          </w:tcPr>
          <w:p>
            <w:pPr>
              <w:spacing w:after="40"/>
            </w:pPr>
            <w:r/>
            <w:r>
              <w:rPr>
                <w:rFonts w:ascii="Liberation Serif" w:hAnsi="Liberation Serif"/>
                <w:b w:val="0"/>
                <w:sz w:val="19"/>
              </w:rPr>
              <w:t>Reúne las mediciones aprobadas del período con ejecutor subcontratado dentro del alcance del contrato.</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Solicita la valorización del certificado.</w:t>
            </w:r>
          </w:p>
        </w:tc>
        <w:tc>
          <w:tcPr>
            <w:tcW w:type="dxa" w:w="2494"/>
            <w:gridSpan w:val="2"/>
          </w:tcPr>
          <w:p>
            <w:pPr>
              <w:spacing w:after="40"/>
            </w:pPr>
            <w:r/>
            <w:r>
              <w:rPr>
                <w:rFonts w:ascii="Liberation Serif" w:hAnsi="Liberation Serif"/>
                <w:b w:val="0"/>
                <w:sz w:val="19"/>
              </w:rPr>
              <w:t>Valoriza cada cantidad con el precio del contrato, en guaraníes y con aritmética decimal, aplica las retenciones del contrato y presenta por separado costo analítico, valorización contractual, precio de venta y pago.</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Emite el certificado de subcontrato.</w:t>
            </w:r>
          </w:p>
        </w:tc>
        <w:tc>
          <w:tcPr>
            <w:tcW w:type="dxa" w:w="2494"/>
            <w:gridSpan w:val="2"/>
          </w:tcPr>
          <w:p>
            <w:pPr>
              <w:spacing w:after="40"/>
            </w:pPr>
            <w:r/>
            <w:r>
              <w:rPr>
                <w:rFonts w:ascii="Liberation Serif" w:hAnsi="Liberation Serif"/>
                <w:b w:val="0"/>
                <w:sz w:val="19"/>
              </w:rPr>
              <w:t>Registra el certificado de subcontrato Emitido con número, fecha y actor, y su valorización en el control de costos del ECMS.</w:t>
            </w:r>
          </w:p>
        </w:tc>
      </w:tr>
      <w:tr>
        <w:tc>
          <w:tcPr>
            <w:tcW w:type="dxa" w:w="1928"/>
          </w:tcPr>
          <w:p>
            <w:pPr>
              <w:spacing w:after="40"/>
            </w:pPr>
            <w:r/>
            <w:r>
              <w:rPr>
                <w:rFonts w:ascii="Liberation Serif" w:hAnsi="Liberation Serif"/>
                <w:b w:val="0"/>
                <w:sz w:val="19"/>
              </w:rPr>
              <w:t>Responsable Técnico</w:t>
            </w:r>
          </w:p>
        </w:tc>
        <w:tc>
          <w:tcPr>
            <w:tcW w:type="dxa" w:w="3402"/>
          </w:tcPr>
          <w:p>
            <w:pPr>
              <w:spacing w:after="40"/>
            </w:pPr>
            <w:r/>
            <w:r>
              <w:rPr>
                <w:rFonts w:ascii="Liberation Serif" w:hAnsi="Liberation Serif"/>
                <w:b w:val="0"/>
                <w:sz w:val="19"/>
              </w:rPr>
              <w:t>Confirma el envío al ERP.</w:t>
            </w:r>
          </w:p>
        </w:tc>
        <w:tc>
          <w:tcPr>
            <w:tcW w:type="dxa" w:w="2494"/>
            <w:gridSpan w:val="2"/>
          </w:tcPr>
          <w:p>
            <w:pPr>
              <w:spacing w:after="40"/>
            </w:pPr>
            <w:r/>
            <w:r>
              <w:rPr>
                <w:rFonts w:ascii="Liberation Serif" w:hAnsi="Liberation Serif"/>
                <w:b w:val="0"/>
                <w:sz w:val="19"/>
              </w:rPr>
              <w:t>Incluye CU-10: publica el evento de certificado emitido para que el ERP registre el pago al subcontratista.</w:t>
            </w:r>
          </w:p>
        </w:tc>
      </w:tr>
      <w:tr>
        <w:tc>
          <w:tcPr>
            <w:tcW w:type="dxa" w:w="1928"/>
          </w:tcPr>
          <w:p>
            <w:pPr>
              <w:spacing w:after="40"/>
            </w:pPr>
            <w:r/>
            <w:r>
              <w:rPr>
                <w:rFonts w:ascii="Liberation Serif" w:hAnsi="Liberation Serif"/>
                <w:b w:val="0"/>
                <w:sz w:val="19"/>
              </w:rPr>
              <w:t>Subcontratista</w:t>
            </w:r>
          </w:p>
        </w:tc>
        <w:tc>
          <w:tcPr>
            <w:tcW w:type="dxa" w:w="3402"/>
          </w:tcPr>
          <w:p>
            <w:pPr>
              <w:spacing w:after="40"/>
            </w:pPr>
            <w:r/>
            <w:r>
              <w:rPr>
                <w:rFonts w:ascii="Liberation Serif" w:hAnsi="Liberation Serif"/>
                <w:b w:val="0"/>
                <w:sz w:val="19"/>
              </w:rPr>
              <w:t>Consulta el certificado emitido de su contrato.</w:t>
            </w:r>
          </w:p>
        </w:tc>
        <w:tc>
          <w:tcPr>
            <w:tcW w:type="dxa" w:w="2494"/>
            <w:gridSpan w:val="2"/>
          </w:tcPr>
          <w:p>
            <w:pPr>
              <w:spacing w:after="40"/>
            </w:pPr>
            <w:r/>
            <w:r>
              <w:rPr>
                <w:rFonts w:ascii="Liberation Serif" w:hAnsi="Liberation Serif"/>
                <w:b w:val="0"/>
                <w:sz w:val="19"/>
              </w:rPr>
              <w:t>Muestra la valorización de su contrato sin precios de venta, márgenes ni datos de otros contratos.</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1, RF-10). Medición ya certificada: la medición integra otro certificado de subcontrato; el sistema la excluye para no valorizar dos veces el mismo trabajo físico.</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1). Sin mediciones del subcontrato: no hay mediciones aprobadas con ejecutor subcontratado en el período; el sistema no genera el certificado.</w:t>
            </w:r>
            <w:r>
              <w:rPr>
                <w:rFonts w:ascii="Liberation Serif" w:hAnsi="Liberation Serif"/>
                <w:b w:val="0"/>
                <w:sz w:val="19"/>
              </w:rPr>
              <w:br/>
              <w:t>E2 (RNF-01). El actor no tiene rol vigente sobre la obra: el sistema deniega la certificación.</w:t>
            </w:r>
          </w:p>
        </w:tc>
      </w:tr>
    </w:tbl>
    <w:p>
      <w:pPr>
        <w:sectPr>
          <w:headerReference w:type="default" r:id="rId159"/>
          <w:footerReference w:type="default" r:id="rId160"/>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9000000" cy="4626411"/>
            <wp:docPr id="90" name="Picture 90"/>
            <wp:cNvGraphicFramePr>
              <a:graphicFrameLocks noChangeAspect="1"/>
            </wp:cNvGraphicFramePr>
            <a:graphic>
              <a:graphicData uri="http://schemas.openxmlformats.org/drawingml/2006/picture">
                <pic:pic>
                  <pic:nvPicPr>
                    <pic:cNvPr id="0" name="CU-14-clases.png"/>
                    <pic:cNvPicPr/>
                  </pic:nvPicPr>
                  <pic:blipFill>
                    <a:blip r:embed="rId166"/>
                    <a:stretch>
                      <a:fillRect/>
                    </a:stretch>
                  </pic:blipFill>
                  <pic:spPr>
                    <a:xfrm>
                      <a:off x="0" y="0"/>
                      <a:ext cx="9000000" cy="4626411"/>
                    </a:xfrm>
                    <a:prstGeom prst="rect"/>
                  </pic:spPr>
                </pic:pic>
              </a:graphicData>
            </a:graphic>
          </wp:inline>
        </w:drawing>
      </w:r>
    </w:p>
    <w:p>
      <w:pPr>
        <w:jc w:val="center"/>
      </w:pPr>
      <w:r>
        <w:rPr>
          <w:i/>
          <w:sz w:val="18"/>
        </w:rPr>
        <w:t>Figura 90. Clases del caso de uso CU-14.</w:t>
      </w: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4001739"/>
            <wp:docPr id="91" name="Picture 91"/>
            <wp:cNvGraphicFramePr>
              <a:graphicFrameLocks noChangeAspect="1"/>
            </wp:cNvGraphicFramePr>
            <a:graphic>
              <a:graphicData uri="http://schemas.openxmlformats.org/drawingml/2006/picture">
                <pic:pic>
                  <pic:nvPicPr>
                    <pic:cNvPr id="0" name="CU-14-secuencia.png"/>
                    <pic:cNvPicPr/>
                  </pic:nvPicPr>
                  <pic:blipFill>
                    <a:blip r:embed="rId167"/>
                    <a:stretch>
                      <a:fillRect/>
                    </a:stretch>
                  </pic:blipFill>
                  <pic:spPr>
                    <a:xfrm>
                      <a:off x="0" y="0"/>
                      <a:ext cx="9000000" cy="4001739"/>
                    </a:xfrm>
                    <a:prstGeom prst="rect"/>
                  </pic:spPr>
                </pic:pic>
              </a:graphicData>
            </a:graphic>
          </wp:inline>
        </w:drawing>
      </w:r>
    </w:p>
    <w:p>
      <w:pPr>
        <w:jc w:val="center"/>
      </w:pPr>
      <w:r>
        <w:rPr>
          <w:i/>
          <w:sz w:val="18"/>
        </w:rPr>
        <w:t>Figura 91. Interacción del caso de uso CU-14.</w:t>
      </w:r>
    </w:p>
    <w:p>
      <w:pPr>
        <w:jc w:val="center"/>
      </w:pPr>
      <w:r>
        <w:drawing>
          <wp:inline xmlns:a="http://schemas.openxmlformats.org/drawingml/2006/main" xmlns:pic="http://schemas.openxmlformats.org/drawingml/2006/picture">
            <wp:extent cx="9000000" cy="3290918"/>
            <wp:docPr id="92" name="Picture 92"/>
            <wp:cNvGraphicFramePr>
              <a:graphicFrameLocks noChangeAspect="1"/>
            </wp:cNvGraphicFramePr>
            <a:graphic>
              <a:graphicData uri="http://schemas.openxmlformats.org/drawingml/2006/picture">
                <pic:pic>
                  <pic:nvPicPr>
                    <pic:cNvPr id="0" name="C4-CU14.png"/>
                    <pic:cNvPicPr/>
                  </pic:nvPicPr>
                  <pic:blipFill>
                    <a:blip r:embed="rId168"/>
                    <a:stretch>
                      <a:fillRect/>
                    </a:stretch>
                  </pic:blipFill>
                  <pic:spPr>
                    <a:xfrm>
                      <a:off x="0" y="0"/>
                      <a:ext cx="9000000" cy="3290918"/>
                    </a:xfrm>
                    <a:prstGeom prst="rect"/>
                  </pic:spPr>
                </pic:pic>
              </a:graphicData>
            </a:graphic>
          </wp:inline>
        </w:drawing>
      </w:r>
    </w:p>
    <w:p>
      <w:pPr>
        <w:jc w:val="center"/>
      </w:pPr>
      <w:r>
        <w:rPr>
          <w:i/>
          <w:sz w:val="18"/>
        </w:rPr>
        <w:t>Figura 92. Vista dinámica C4 de CU-14 entre componentes.</w:t>
      </w:r>
    </w:p>
    <w:p>
      <w:pPr>
        <w:sectPr>
          <w:headerReference w:type="default" r:id="rId164"/>
          <w:footerReference w:type="default" r:id="rId165"/>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5908914"/>
            <wp:docPr id="93" name="Picture 93"/>
            <wp:cNvGraphicFramePr>
              <a:graphicFrameLocks noChangeAspect="1"/>
            </wp:cNvGraphicFramePr>
            <a:graphic>
              <a:graphicData uri="http://schemas.openxmlformats.org/drawingml/2006/picture">
                <pic:pic>
                  <pic:nvPicPr>
                    <pic:cNvPr id="0" name="CU-14-actividades.png"/>
                    <pic:cNvPicPr/>
                  </pic:nvPicPr>
                  <pic:blipFill>
                    <a:blip r:embed="rId171"/>
                    <a:stretch>
                      <a:fillRect/>
                    </a:stretch>
                  </pic:blipFill>
                  <pic:spPr>
                    <a:xfrm>
                      <a:off x="0" y="0"/>
                      <a:ext cx="5760000" cy="5908914"/>
                    </a:xfrm>
                    <a:prstGeom prst="rect"/>
                  </pic:spPr>
                </pic:pic>
              </a:graphicData>
            </a:graphic>
          </wp:inline>
        </w:drawing>
      </w:r>
    </w:p>
    <w:p>
      <w:pPr>
        <w:jc w:val="center"/>
      </w:pPr>
      <w:r>
        <w:rPr>
          <w:i/>
          <w:sz w:val="18"/>
        </w:rPr>
        <w:t>Figura 93. Actividades del caso de uso CU-14, con sus caminos alternativos y de excepción.</w:t>
      </w:r>
    </w:p>
    <w:p>
      <w:pPr>
        <w:spacing w:after="120"/>
      </w:pPr>
      <w:r>
        <w:rPr>
          <w:b w:val="0"/>
        </w:rPr>
        <w:t>Estados de Certificado: este caso de uso dispara «crear en Borrador», «emitir». Para no repetir la figura, la máquina de estados completa se presenta en CU-09 (Figura 61).</w:t>
      </w:r>
    </w:p>
    <w:p>
      <w:pPr>
        <w:pStyle w:val="Heading2"/>
      </w:pPr>
      <w:r>
        <w:t>Caso de Uso CU-15 Calcular costos por vía</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10097349"/>
            <wp:docPr id="94" name="Picture 94"/>
            <wp:cNvGraphicFramePr>
              <a:graphicFrameLocks noChangeAspect="1"/>
            </wp:cNvGraphicFramePr>
            <a:graphic>
              <a:graphicData uri="http://schemas.openxmlformats.org/drawingml/2006/picture">
                <pic:pic>
                  <pic:nvPicPr>
                    <pic:cNvPr id="0" name="C4-CU15-contexto.png"/>
                    <pic:cNvPicPr/>
                  </pic:nvPicPr>
                  <pic:blipFill>
                    <a:blip r:embed="rId172"/>
                    <a:stretch>
                      <a:fillRect/>
                    </a:stretch>
                  </pic:blipFill>
                  <pic:spPr>
                    <a:xfrm>
                      <a:off x="0" y="0"/>
                      <a:ext cx="5760000" cy="10097349"/>
                    </a:xfrm>
                    <a:prstGeom prst="rect"/>
                  </pic:spPr>
                </pic:pic>
              </a:graphicData>
            </a:graphic>
          </wp:inline>
        </w:drawing>
      </w:r>
    </w:p>
    <w:p>
      <w:pPr>
        <w:jc w:val="center"/>
      </w:pPr>
      <w:r>
        <w:rPr>
          <w:i/>
          <w:sz w:val="18"/>
        </w:rPr>
        <w:t>Figura 94. Contexto C4 del caso de uso CU-15.</w:t>
      </w:r>
    </w:p>
    <w:p>
      <w:pPr>
        <w:jc w:val="center"/>
      </w:pPr>
      <w:r>
        <w:drawing>
          <wp:inline xmlns:a="http://schemas.openxmlformats.org/drawingml/2006/main" xmlns:pic="http://schemas.openxmlformats.org/drawingml/2006/picture">
            <wp:extent cx="5760000" cy="16322616"/>
            <wp:docPr id="95" name="Picture 95"/>
            <wp:cNvGraphicFramePr>
              <a:graphicFrameLocks noChangeAspect="1"/>
            </wp:cNvGraphicFramePr>
            <a:graphic>
              <a:graphicData uri="http://schemas.openxmlformats.org/drawingml/2006/picture">
                <pic:pic>
                  <pic:nvPicPr>
                    <pic:cNvPr id="0" name="C4-CU15-contenedores.png"/>
                    <pic:cNvPicPr/>
                  </pic:nvPicPr>
                  <pic:blipFill>
                    <a:blip r:embed="rId173"/>
                    <a:stretch>
                      <a:fillRect/>
                    </a:stretch>
                  </pic:blipFill>
                  <pic:spPr>
                    <a:xfrm>
                      <a:off x="0" y="0"/>
                      <a:ext cx="5760000" cy="16322616"/>
                    </a:xfrm>
                    <a:prstGeom prst="rect"/>
                  </pic:spPr>
                </pic:pic>
              </a:graphicData>
            </a:graphic>
          </wp:inline>
        </w:drawing>
      </w:r>
    </w:p>
    <w:p>
      <w:pPr>
        <w:jc w:val="center"/>
      </w:pPr>
      <w:r>
        <w:rPr>
          <w:i/>
          <w:sz w:val="18"/>
        </w:rPr>
        <w:t>Figura 95. Contenedores C4 que intervienen en CU-15.</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CU-15 Calcular costos por vía</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Ingeniero de Obra solicita el costo de la obra por rubro e ítem. El Motor de Ingeniería calcula el costo de cada ítem por las vías de materiales, mano de obra y equipos a partir de su análisis de costo unitario y lo compara con el presupuesto vigente, que ya refleja los movimientos aprobados. Cada importe identifica vía, período, fuente y naturaleza.</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RF-26, RNF-01, RNF-06, RNF-11, PR-01, PR-03, PR-07</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Ingeniero de Obra, Motor de Ingeniería</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La obra tiene una versión de presupuesto vigente con análisis de costo unitario en sus ítems.</w:t>
            </w:r>
            <w:r>
              <w:rPr>
                <w:rFonts w:ascii="Liberation Serif" w:hAnsi="Liberation Serif"/>
                <w:b w:val="0"/>
                <w:sz w:val="19"/>
              </w:rPr>
              <w:br/>
              <w:t>· El actor tiene un rol vigente sobre la obra.</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El costo por obra, rubro e ítem queda desagregado por vía y comparado con el presupuesto vigente, con fecha de corte, unidad y moneda.</w:t>
            </w:r>
            <w:r>
              <w:rPr>
                <w:rFonts w:ascii="Liberation Serif" w:hAnsi="Liberation Serif"/>
                <w:b w:val="0"/>
                <w:sz w:val="19"/>
              </w:rPr>
              <w:br/>
              <w:t>· Ningún movimiento presupuestario se registra como costo incurrido.</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Selecciona la obra y la fecha de corte y solicita el análisis de costos.</w:t>
            </w:r>
          </w:p>
        </w:tc>
        <w:tc>
          <w:tcPr>
            <w:tcW w:type="dxa" w:w="2494"/>
            <w:gridSpan w:val="2"/>
          </w:tcPr>
          <w:p>
            <w:pPr>
              <w:spacing w:after="40"/>
            </w:pPr>
            <w:r/>
            <w:r>
              <w:rPr>
                <w:rFonts w:ascii="Liberation Serif" w:hAnsi="Liberation Serif"/>
                <w:b w:val="0"/>
                <w:sz w:val="19"/>
              </w:rPr>
              <w:t>Obtiene la versión de presupuesto vigente y los análisis de costo unitario de sus ítems.</w:t>
            </w:r>
          </w:p>
        </w:tc>
      </w:tr>
      <w:tr>
        <w:tc>
          <w:tcPr>
            <w:tcW w:type="dxa" w:w="1928"/>
          </w:tcPr>
          <w:p>
            <w:pPr>
              <w:spacing w:after="40"/>
            </w:pPr>
            <w:r/>
            <w:r>
              <w:rPr>
                <w:rFonts w:ascii="Liberation Serif" w:hAnsi="Liberation Serif"/>
                <w:b w:val="0"/>
                <w:sz w:val="19"/>
              </w:rPr>
              <w:t>Motor de Ingeniería</w:t>
            </w:r>
          </w:p>
        </w:tc>
        <w:tc>
          <w:tcPr>
            <w:tcW w:type="dxa" w:w="3402"/>
          </w:tcPr>
          <w:p>
            <w:pPr>
              <w:spacing w:after="40"/>
            </w:pPr>
            <w:r/>
            <w:r>
              <w:rPr>
                <w:rFonts w:ascii="Liberation Serif" w:hAnsi="Liberation Serif"/>
                <w:b w:val="0"/>
                <w:sz w:val="19"/>
              </w:rPr>
              <w:t>Calcula el costo de cada ítem por las vías de materiales, mano de obra y equipos.</w:t>
            </w:r>
          </w:p>
        </w:tc>
        <w:tc>
          <w:tcPr>
            <w:tcW w:type="dxa" w:w="2494"/>
            <w:gridSpan w:val="2"/>
          </w:tcPr>
          <w:p>
            <w:pPr>
              <w:spacing w:after="40"/>
            </w:pPr>
            <w:r/>
            <w:r>
              <w:rPr>
                <w:rFonts w:ascii="Liberation Serif" w:hAnsi="Liberation Serif"/>
                <w:b w:val="0"/>
                <w:sz w:val="19"/>
              </w:rPr>
              <w:t>Suma los componentes de cada análisis con aritmética decimal, en guaraníes, y agrega los importes por ítem, rubro y obra.</w:t>
            </w:r>
          </w:p>
        </w:tc>
      </w:tr>
      <w:tr>
        <w:tc>
          <w:tcPr>
            <w:tcW w:type="dxa" w:w="1928"/>
          </w:tcPr>
          <w:p>
            <w:pPr>
              <w:spacing w:after="40"/>
            </w:pPr>
            <w:r/>
            <w:r>
              <w:rPr>
                <w:rFonts w:ascii="Liberation Serif" w:hAnsi="Liberation Serif"/>
                <w:b w:val="0"/>
                <w:sz w:val="19"/>
              </w:rPr>
              <w:t>Ingeniero de Obra</w:t>
            </w:r>
          </w:p>
        </w:tc>
        <w:tc>
          <w:tcPr>
            <w:tcW w:type="dxa" w:w="3402"/>
          </w:tcPr>
          <w:p>
            <w:pPr>
              <w:spacing w:after="40"/>
            </w:pPr>
            <w:r/>
            <w:r>
              <w:rPr>
                <w:rFonts w:ascii="Liberation Serif" w:hAnsi="Liberation Serif"/>
                <w:b w:val="0"/>
                <w:sz w:val="19"/>
              </w:rPr>
              <w:t>Revisa la comparación con el presupuesto vigente.</w:t>
            </w:r>
          </w:p>
        </w:tc>
        <w:tc>
          <w:tcPr>
            <w:tcW w:type="dxa" w:w="2494"/>
            <w:gridSpan w:val="2"/>
          </w:tcPr>
          <w:p>
            <w:pPr>
              <w:spacing w:after="40"/>
            </w:pPr>
            <w:r/>
            <w:r>
              <w:rPr>
                <w:rFonts w:ascii="Liberation Serif" w:hAnsi="Liberation Serif"/>
                <w:b w:val="0"/>
                <w:sz w:val="19"/>
              </w:rPr>
              <w:t>Muestra cada importe con su vía, período, fuente y naturaleza junto al importe presupuestado, con fecha de corte, unidad y moneda.</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A1 (paso 1, RF-26). Ítem sin análisis de costo unitario: el sistema lo informa como ítem sin costo calculado y continúa con los demás.</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(RNF-01). El actor no tiene rol vigente sobre la obra: el sistema deniega la consulta.</w:t>
            </w:r>
          </w:p>
        </w:tc>
      </w:tr>
    </w:tbl>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5760000" cy="4670596"/>
            <wp:docPr id="96" name="Picture 96"/>
            <wp:cNvGraphicFramePr>
              <a:graphicFrameLocks noChangeAspect="1"/>
            </wp:cNvGraphicFramePr>
            <a:graphic>
              <a:graphicData uri="http://schemas.openxmlformats.org/drawingml/2006/picture">
                <pic:pic>
                  <pic:nvPicPr>
                    <pic:cNvPr id="0" name="CU-15-clases.png"/>
                    <pic:cNvPicPr/>
                  </pic:nvPicPr>
                  <pic:blipFill>
                    <a:blip r:embed="rId174"/>
                    <a:stretch>
                      <a:fillRect/>
                    </a:stretch>
                  </pic:blipFill>
                  <pic:spPr>
                    <a:xfrm>
                      <a:off x="0" y="0"/>
                      <a:ext cx="5760000" cy="4670596"/>
                    </a:xfrm>
                    <a:prstGeom prst="rect"/>
                  </pic:spPr>
                </pic:pic>
              </a:graphicData>
            </a:graphic>
          </wp:inline>
        </w:drawing>
      </w:r>
    </w:p>
    <w:p>
      <w:pPr>
        <w:jc w:val="center"/>
      </w:pPr>
      <w:r>
        <w:rPr>
          <w:i/>
          <w:sz w:val="18"/>
        </w:rPr>
        <w:t>Figura 96. Clases del caso de uso CU-15.</w:t>
      </w:r>
    </w:p>
    <w:p>
      <w:pPr>
        <w:sectPr>
          <w:headerReference w:type="default" r:id="rId169"/>
          <w:footerReference w:type="default" r:id="rId170"/>
          <w:pgSz w:w="11906" w:h="16838"/>
          <w:pgMar w:top="1247" w:right="1417" w:bottom="1247" w:left="1417"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9000000" cy="3384431"/>
            <wp:docPr id="97" name="Picture 97"/>
            <wp:cNvGraphicFramePr>
              <a:graphicFrameLocks noChangeAspect="1"/>
            </wp:cNvGraphicFramePr>
            <a:graphic>
              <a:graphicData uri="http://schemas.openxmlformats.org/drawingml/2006/picture">
                <pic:pic>
                  <pic:nvPicPr>
                    <pic:cNvPr id="0" name="CU-15-secuencia.png"/>
                    <pic:cNvPicPr/>
                  </pic:nvPicPr>
                  <pic:blipFill>
                    <a:blip r:embed="rId177"/>
                    <a:stretch>
                      <a:fillRect/>
                    </a:stretch>
                  </pic:blipFill>
                  <pic:spPr>
                    <a:xfrm>
                      <a:off x="0" y="0"/>
                      <a:ext cx="9000000" cy="3384431"/>
                    </a:xfrm>
                    <a:prstGeom prst="rect"/>
                  </pic:spPr>
                </pic:pic>
              </a:graphicData>
            </a:graphic>
          </wp:inline>
        </w:drawing>
      </w:r>
    </w:p>
    <w:p>
      <w:pPr>
        <w:jc w:val="center"/>
      </w:pPr>
      <w:r>
        <w:rPr>
          <w:i/>
          <w:sz w:val="18"/>
        </w:rPr>
        <w:t>Figura 97. Interacción del caso de uso CU-15.</w:t>
      </w:r>
    </w:p>
    <w:p>
      <w:pPr>
        <w:sectPr>
          <w:headerReference w:type="default" r:id="rId175"/>
          <w:footerReference w:type="default" r:id="rId176"/>
          <w:pgSz w:w="16838" w:h="11906" w:orient="landscape"/>
          <w:pgMar w:top="1361" w:right="1020" w:bottom="680" w:left="1020" w:header="720" w:footer="720" w:gutter="0"/>
          <w:cols w:space="720"/>
          <w:docGrid w:linePitch="360"/>
        </w:sectPr>
      </w:pPr>
    </w:p>
    <w:p>
      <w:pPr>
        <w:jc w:val="center"/>
      </w:pPr>
      <w:r>
        <w:drawing>
          <wp:inline xmlns:a="http://schemas.openxmlformats.org/drawingml/2006/main" xmlns:pic="http://schemas.openxmlformats.org/drawingml/2006/picture">
            <wp:extent cx="5760000" cy="8004507"/>
            <wp:docPr id="98" name="Picture 98"/>
            <wp:cNvGraphicFramePr>
              <a:graphicFrameLocks noChangeAspect="1"/>
            </wp:cNvGraphicFramePr>
            <a:graphic>
              <a:graphicData uri="http://schemas.openxmlformats.org/drawingml/2006/picture">
                <pic:pic>
                  <pic:nvPicPr>
                    <pic:cNvPr id="0" name="C4-CU15.png"/>
                    <pic:cNvPicPr/>
                  </pic:nvPicPr>
                  <pic:blipFill>
                    <a:blip r:embed="rId180"/>
                    <a:stretch>
                      <a:fillRect/>
                    </a:stretch>
                  </pic:blipFill>
                  <pic:spPr>
                    <a:xfrm>
                      <a:off x="0" y="0"/>
                      <a:ext cx="5760000" cy="8004507"/>
                    </a:xfrm>
                    <a:prstGeom prst="rect"/>
                  </pic:spPr>
                </pic:pic>
              </a:graphicData>
            </a:graphic>
          </wp:inline>
        </w:drawing>
      </w:r>
    </w:p>
    <w:p>
      <w:pPr>
        <w:jc w:val="center"/>
      </w:pPr>
      <w:r>
        <w:rPr>
          <w:i/>
          <w:sz w:val="18"/>
        </w:rPr>
        <w:t>Figura 98. Vista dinámica C4 de CU-15 entre componentes.</w:t>
      </w:r>
    </w:p>
    <w:p>
      <w:pPr>
        <w:sectPr>
          <w:headerReference w:type="default" r:id="rId178"/>
          <w:footerReference w:type="default" r:id="rId179"/>
          <w:pgSz w:w="11906" w:h="16838"/>
          <w:pgMar w:top="1247" w:right="1417" w:bottom="1247" w:left="1417"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7948474" cy="4788000"/>
            <wp:docPr id="99" name="Picture 99"/>
            <wp:cNvGraphicFramePr>
              <a:graphicFrameLocks noChangeAspect="1"/>
            </wp:cNvGraphicFramePr>
            <a:graphic>
              <a:graphicData uri="http://schemas.openxmlformats.org/drawingml/2006/picture">
                <pic:pic>
                  <pic:nvPicPr>
                    <pic:cNvPr id="0" name="CU-15-actividades.png"/>
                    <pic:cNvPicPr/>
                  </pic:nvPicPr>
                  <pic:blipFill>
                    <a:blip r:embed="rId183"/>
                    <a:stretch>
                      <a:fillRect/>
                    </a:stretch>
                  </pic:blipFill>
                  <pic:spPr>
                    <a:xfrm>
                      <a:off x="0" y="0"/>
                      <a:ext cx="7948474" cy="4788000"/>
                    </a:xfrm>
                    <a:prstGeom prst="rect"/>
                  </pic:spPr>
                </pic:pic>
              </a:graphicData>
            </a:graphic>
          </wp:inline>
        </w:drawing>
      </w:r>
    </w:p>
    <w:p>
      <w:pPr>
        <w:jc w:val="center"/>
      </w:pPr>
      <w:r>
        <w:rPr>
          <w:i/>
          <w:sz w:val="18"/>
        </w:rPr>
        <w:t>Figura 99. Actividades del caso de uso CU-15, con sus caminos alternativos y de excepción.</w:t>
      </w:r>
    </w:p>
    <w:p>
      <w:pPr>
        <w:sectPr>
          <w:headerReference w:type="default" r:id="rId181"/>
          <w:footerReference w:type="default" r:id="rId182"/>
          <w:pgSz w:w="16838" w:h="11906" w:orient="landscape"/>
          <w:pgMar w:top="1361" w:right="1020" w:bottom="680" w:left="1020" w:header="720" w:footer="720" w:gutter="0"/>
          <w:cols w:space="720"/>
          <w:docGrid w:linePitch="360"/>
        </w:sectPr>
      </w:pPr>
    </w:p>
    <w:p>
      <w:pPr>
        <w:pStyle w:val="Heading2"/>
      </w:pPr>
      <w:r>
        <w:t>Caso de Uso CU-16 Consultar reportes y Curva S</w:t>
      </w:r>
    </w:p>
    <w:p>
      <w:pPr>
        <w:pStyle w:val="Heading3"/>
      </w:pPr>
      <w:r>
        <w:t>Descripción</w:t>
      </w:r>
    </w:p>
    <w:p>
      <w:pPr>
        <w:spacing w:after="120"/>
      </w:pPr>
      <w:r>
        <w:rPr>
          <w:b w:val="0"/>
          <w:sz w:val="20"/>
        </w:rPr>
        <w:t>El contexto C4 muestra quién usa el caso de uso y con qué sistemas interactúa; los contenedores C4, qué partes de Obra Studio intervienen. Sigue la especificación.</w:t>
      </w:r>
    </w:p>
    <w:p>
      <w:pPr>
        <w:jc w:val="center"/>
      </w:pPr>
      <w:r>
        <w:drawing>
          <wp:inline xmlns:a="http://schemas.openxmlformats.org/drawingml/2006/main" xmlns:pic="http://schemas.openxmlformats.org/drawingml/2006/picture">
            <wp:extent cx="5760000" cy="5995862"/>
            <wp:docPr id="100" name="Picture 100"/>
            <wp:cNvGraphicFramePr>
              <a:graphicFrameLocks noChangeAspect="1"/>
            </wp:cNvGraphicFramePr>
            <a:graphic>
              <a:graphicData uri="http://schemas.openxmlformats.org/drawingml/2006/picture">
                <pic:pic>
                  <pic:nvPicPr>
                    <pic:cNvPr id="0" name="C4-CU16-contexto.png"/>
                    <pic:cNvPicPr/>
                  </pic:nvPicPr>
                  <pic:blipFill>
                    <a:blip r:embed="rId186"/>
                    <a:stretch>
                      <a:fillRect/>
                    </a:stretch>
                  </pic:blipFill>
                  <pic:spPr>
                    <a:xfrm>
                      <a:off x="0" y="0"/>
                      <a:ext cx="5760000" cy="5995862"/>
                    </a:xfrm>
                    <a:prstGeom prst="rect"/>
                  </pic:spPr>
                </pic:pic>
              </a:graphicData>
            </a:graphic>
          </wp:inline>
        </w:drawing>
      </w:r>
    </w:p>
    <w:p>
      <w:pPr>
        <w:jc w:val="center"/>
      </w:pPr>
      <w:r>
        <w:rPr>
          <w:i/>
          <w:sz w:val="18"/>
        </w:rPr>
        <w:t>Figura 100. Contexto C4 del caso de uso CU-16.</w:t>
      </w:r>
    </w:p>
    <w:p>
      <w:pPr>
        <w:jc w:val="center"/>
      </w:pPr>
      <w:r>
        <w:drawing>
          <wp:inline xmlns:a="http://schemas.openxmlformats.org/drawingml/2006/main" xmlns:pic="http://schemas.openxmlformats.org/drawingml/2006/picture">
            <wp:extent cx="5760000" cy="11556844"/>
            <wp:docPr id="101" name="Picture 101"/>
            <wp:cNvGraphicFramePr>
              <a:graphicFrameLocks noChangeAspect="1"/>
            </wp:cNvGraphicFramePr>
            <a:graphic>
              <a:graphicData uri="http://schemas.openxmlformats.org/drawingml/2006/picture">
                <pic:pic>
                  <pic:nvPicPr>
                    <pic:cNvPr id="0" name="C4-CU16-contenedores.png"/>
                    <pic:cNvPicPr/>
                  </pic:nvPicPr>
                  <pic:blipFill>
                    <a:blip r:embed="rId187"/>
                    <a:stretch>
                      <a:fillRect/>
                    </a:stretch>
                  </pic:blipFill>
                  <pic:spPr>
                    <a:xfrm>
                      <a:off x="0" y="0"/>
                      <a:ext cx="5760000" cy="11556844"/>
                    </a:xfrm>
                    <a:prstGeom prst="rect"/>
                  </pic:spPr>
                </pic:pic>
              </a:graphicData>
            </a:graphic>
          </wp:inline>
        </w:drawing>
      </w:r>
    </w:p>
    <w:p>
      <w:pPr>
        <w:jc w:val="center"/>
      </w:pPr>
      <w:r>
        <w:rPr>
          <w:i/>
          <w:sz w:val="18"/>
        </w:rPr>
        <w:t>Figura 101. Contenedores C4 que intervienen en CU-16.</w:t>
      </w:r>
    </w:p>
    <w:tbl>
      <w:tblPr>
        <w:tblStyle w:val="TableGrid"/>
        <w:tblW w:type="auto" w:w="0"/>
        <w:tblLook w:firstColumn="1" w:firstRow="1" w:lastColumn="0" w:lastRow="0" w:noHBand="0" w:noVBand="1" w:val="04A0"/>
      </w:tblPr>
      <w:tblGrid>
        <w:gridCol w:w="2268"/>
        <w:gridCol w:w="2268"/>
        <w:gridCol w:w="2268"/>
        <w:gridCol w:w="2268"/>
      </w:tblGrid>
      <w:tr>
        <w:tc>
          <w:tcPr>
            <w:tcW w:type="dxa" w:w="1928"/>
          </w:tcPr>
          <w:p>
            <w:pPr>
              <w:spacing w:after="40"/>
            </w:pPr>
            <w:r/>
            <w:r>
              <w:rPr>
                <w:rFonts w:ascii="Liberation Serif" w:hAnsi="Liberation Serif"/>
                <w:b/>
                <w:sz w:val="19"/>
              </w:rPr>
              <w:t>Nombre Caso de Uso</w:t>
            </w:r>
          </w:p>
        </w:tc>
        <w:tc>
          <w:tcPr>
            <w:tcW w:type="dxa" w:w="3402"/>
          </w:tcPr>
          <w:p>
            <w:pPr>
              <w:spacing w:after="40"/>
            </w:pPr>
            <w:r/>
            <w:r>
              <w:rPr>
                <w:rFonts w:ascii="Liberation Serif" w:hAnsi="Liberation Serif"/>
                <w:b w:val="0"/>
                <w:sz w:val="19"/>
              </w:rPr>
              <w:t>CU-16 Consultar reportes y Curva S</w:t>
            </w:r>
          </w:p>
        </w:tc>
        <w:tc>
          <w:tcPr>
            <w:tcW w:type="dxa" w:w="1247"/>
          </w:tcPr>
          <w:p>
            <w:pPr>
              <w:spacing w:after="40"/>
            </w:pPr>
            <w:r/>
            <w:r>
              <w:rPr>
                <w:rFonts w:ascii="Liberation Serif" w:hAnsi="Liberation Serif"/>
                <w:b w:val="0"/>
                <w:sz w:val="19"/>
              </w:rPr>
              <w:t>Versión</w:t>
            </w:r>
          </w:p>
        </w:tc>
        <w:tc>
          <w:tcPr>
            <w:tcW w:type="dxa" w:w="2494"/>
          </w:tcPr>
          <w:p>
            <w:pPr>
              <w:spacing w:after="40"/>
            </w:pPr>
            <w:r/>
            <w:r>
              <w:rPr>
                <w:rFonts w:ascii="Liberation Serif" w:hAnsi="Liberation Serif"/>
                <w:b w:val="0"/>
                <w:sz w:val="19"/>
              </w:rPr>
              <w:t>1.0</w:t>
            </w:r>
          </w:p>
        </w:tc>
      </w:tr>
      <w:tr>
        <w:tc>
          <w:tcPr>
            <w:tcW w:type="dxa" w:w="1928"/>
          </w:tcPr>
          <w:p>
            <w:pPr>
              <w:spacing w:after="40"/>
            </w:pPr>
            <w:r/>
            <w:r>
              <w:rPr>
                <w:rFonts w:ascii="Liberation Serif" w:hAnsi="Liberation Serif"/>
                <w:b/>
                <w:sz w:val="19"/>
              </w:rPr>
              <w:t>Creado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Modificado por</w:t>
            </w:r>
          </w:p>
        </w:tc>
        <w:tc>
          <w:tcPr>
            <w:tcW w:type="dxa" w:w="3402"/>
          </w:tcPr>
          <w:p>
            <w:pPr>
              <w:spacing w:after="40"/>
            </w:pPr>
            <w:r/>
            <w:r>
              <w:rPr>
                <w:rFonts w:ascii="Liberation Serif" w:hAnsi="Liberation Serif"/>
                <w:b w:val="0"/>
                <w:sz w:val="19"/>
              </w:rPr>
              <w:t>Rojas, Sebastián</w:t>
            </w:r>
          </w:p>
        </w:tc>
        <w:tc>
          <w:tcPr>
            <w:tcW w:type="dxa" w:w="1247"/>
          </w:tcPr>
          <w:p>
            <w:pPr>
              <w:spacing w:after="40"/>
            </w:pPr>
            <w:r/>
            <w:r>
              <w:rPr>
                <w:rFonts w:ascii="Liberation Serif" w:hAnsi="Liberation Serif"/>
                <w:b w:val="0"/>
                <w:sz w:val="19"/>
              </w:rPr>
              <w:t>Fecha</w:t>
            </w:r>
          </w:p>
        </w:tc>
        <w:tc>
          <w:tcPr>
            <w:tcW w:type="dxa" w:w="2494"/>
          </w:tcPr>
          <w:p>
            <w:pPr>
              <w:spacing w:after="40"/>
            </w:pPr>
            <w:r/>
            <w:r>
              <w:rPr>
                <w:rFonts w:ascii="Liberation Serif" w:hAnsi="Liberation Serif"/>
                <w:b w:val="0"/>
                <w:sz w:val="19"/>
              </w:rPr>
              <w:t>2026-10-22</w:t>
            </w:r>
          </w:p>
        </w:tc>
      </w:tr>
      <w:tr>
        <w:tc>
          <w:tcPr>
            <w:tcW w:type="dxa" w:w="1928"/>
          </w:tcPr>
          <w:p>
            <w:pPr>
              <w:spacing w:after="40"/>
            </w:pPr>
            <w:r/>
            <w:r>
              <w:rPr>
                <w:rFonts w:ascii="Liberation Serif" w:hAnsi="Liberation Serif"/>
                <w:b/>
                <w:sz w:val="19"/>
              </w:rPr>
              <w:t>Descripción</w:t>
            </w:r>
          </w:p>
        </w:tc>
        <w:tc>
          <w:tcPr>
            <w:tcW w:type="dxa" w:w="2494"/>
            <w:gridSpan w:val="3"/>
          </w:tcPr>
          <w:p>
            <w:pPr>
              <w:spacing w:after="40"/>
            </w:pPr>
            <w:r/>
            <w:r>
              <w:rPr>
                <w:rFonts w:ascii="Liberation Serif" w:hAnsi="Liberation Serif"/>
                <w:b w:val="0"/>
                <w:sz w:val="19"/>
              </w:rPr>
              <w:t>El Administrador o el Responsable Técnico consulta los reportes de la obra: la Curva S a una fecha de corte, con avance físico, avance financiero y avance físico pendiente de movimiento presupuestario vigente, y el resumen de presupuesto vigente, costos propios y subcontratados, certificaciones y saldos por obra y rubro, con acceso al respaldo de cada cifra.</w:t>
            </w:r>
          </w:p>
        </w:tc>
      </w:tr>
      <w:tr>
        <w:tc>
          <w:tcPr>
            <w:tcW w:type="dxa" w:w="1928"/>
          </w:tcPr>
          <w:p>
            <w:pPr>
              <w:spacing w:after="40"/>
            </w:pPr>
            <w:r/>
            <w:r>
              <w:rPr>
                <w:rFonts w:ascii="Liberation Serif" w:hAnsi="Liberation Serif"/>
                <w:b/>
                <w:sz w:val="19"/>
              </w:rPr>
              <w:t>Requerimiento(s) a que Responde</w:t>
            </w:r>
          </w:p>
        </w:tc>
        <w:tc>
          <w:tcPr>
            <w:tcW w:type="dxa" w:w="2494"/>
            <w:gridSpan w:val="3"/>
          </w:tcPr>
          <w:p>
            <w:pPr>
              <w:spacing w:after="40"/>
            </w:pPr>
            <w:r/>
            <w:r>
              <w:rPr>
                <w:rFonts w:ascii="Liberation Serif" w:hAnsi="Liberation Serif"/>
                <w:b w:val="0"/>
                <w:sz w:val="19"/>
              </w:rPr>
              <w:t>RF-27, RF-28, RNF-01, RNF-11, PR-01, PR-02</w:t>
            </w:r>
          </w:p>
        </w:tc>
      </w:tr>
      <w:tr>
        <w:tc>
          <w:tcPr>
            <w:tcW w:type="dxa" w:w="1928"/>
          </w:tcPr>
          <w:p>
            <w:pPr>
              <w:spacing w:after="40"/>
            </w:pPr>
            <w:r/>
            <w:r>
              <w:rPr>
                <w:rFonts w:ascii="Liberation Serif" w:hAnsi="Liberation Serif"/>
                <w:b/>
                <w:sz w:val="19"/>
              </w:rPr>
              <w:t>Actores</w:t>
            </w:r>
          </w:p>
        </w:tc>
        <w:tc>
          <w:tcPr>
            <w:tcW w:type="dxa" w:w="2494"/>
            <w:gridSpan w:val="3"/>
          </w:tcPr>
          <w:p>
            <w:pPr>
              <w:spacing w:after="40"/>
            </w:pPr>
            <w:r/>
            <w:r>
              <w:rPr>
                <w:rFonts w:ascii="Liberation Serif" w:hAnsi="Liberation Serif"/>
                <w:b w:val="0"/>
                <w:sz w:val="19"/>
              </w:rPr>
              <w:t>Administrador, Responsable Técnico</w:t>
            </w:r>
          </w:p>
        </w:tc>
      </w:tr>
      <w:tr>
        <w:tc>
          <w:tcPr>
            <w:tcW w:type="dxa" w:w="1928"/>
          </w:tcPr>
          <w:p>
            <w:pPr>
              <w:spacing w:after="40"/>
            </w:pPr>
            <w:r/>
            <w:r>
              <w:rPr>
                <w:rFonts w:ascii="Liberation Serif" w:hAnsi="Liberation Serif"/>
                <w:b/>
                <w:sz w:val="19"/>
              </w:rPr>
              <w:t>Pre Condiciones</w:t>
            </w:r>
          </w:p>
        </w:tc>
        <w:tc>
          <w:tcPr>
            <w:tcW w:type="dxa" w:w="2494"/>
            <w:gridSpan w:val="3"/>
          </w:tcPr>
          <w:p>
            <w:pPr>
              <w:spacing w:after="40"/>
            </w:pPr>
            <w:r/>
            <w:r>
              <w:rPr>
                <w:rFonts w:ascii="Liberation Serif" w:hAnsi="Liberation Serif"/>
                <w:b w:val="0"/>
                <w:sz w:val="19"/>
              </w:rPr>
              <w:t>· El actor tiene un rol vigente sobre una obra de su organización.</w:t>
            </w:r>
          </w:p>
        </w:tc>
      </w:tr>
      <w:tr>
        <w:tc>
          <w:tcPr>
            <w:tcW w:type="dxa" w:w="1928"/>
          </w:tcPr>
          <w:p>
            <w:pPr>
              <w:spacing w:after="40"/>
            </w:pPr>
            <w:r/>
            <w:r>
              <w:rPr>
                <w:rFonts w:ascii="Liberation Serif" w:hAnsi="Liberation Serif"/>
                <w:b/>
                <w:sz w:val="19"/>
              </w:rPr>
              <w:t>Pos Condiciones</w:t>
            </w:r>
          </w:p>
        </w:tc>
        <w:tc>
          <w:tcPr>
            <w:tcW w:type="dxa" w:w="2494"/>
            <w:gridSpan w:val="3"/>
          </w:tcPr>
          <w:p>
            <w:pPr>
              <w:spacing w:after="40"/>
            </w:pPr>
            <w:r/>
            <w:r>
              <w:rPr>
                <w:rFonts w:ascii="Liberation Serif" w:hAnsi="Liberation Serif"/>
                <w:b w:val="0"/>
                <w:sz w:val="19"/>
              </w:rPr>
              <w:t>· Cada total se presenta con fecha de corte, unidad, moneda y procedencia, y conduce a su registro o documento fuente.</w:t>
            </w:r>
            <w:r>
              <w:rPr>
                <w:rFonts w:ascii="Liberation Serif" w:hAnsi="Liberation Serif"/>
                <w:b w:val="0"/>
                <w:sz w:val="19"/>
              </w:rPr>
              <w:br/>
              <w:t>· No se modifica ningún registro.</w:t>
            </w:r>
          </w:p>
        </w:tc>
      </w:tr>
      <w:tr>
        <w:tc>
          <w:tcPr>
            <w:tcW w:type="dxa" w:w="2494"/>
            <w:gridSpan w:val="4"/>
          </w:tcPr>
          <w:p>
            <w:pPr>
              <w:spacing w:after="40"/>
              <w:jc w:val="center"/>
            </w:pPr>
            <w:r/>
            <w:r>
              <w:rPr>
                <w:rFonts w:ascii="Liberation Serif" w:hAnsi="Liberation Serif"/>
                <w:b/>
                <w:sz w:val="19"/>
              </w:rPr>
              <w:t>Flujo Normal</w:t>
            </w:r>
          </w:p>
        </w:tc>
      </w:tr>
      <w:tr>
        <w:tc>
          <w:tcPr>
            <w:tcW w:type="dxa" w:w="1928"/>
          </w:tcPr>
          <w:p>
            <w:pPr>
              <w:spacing w:after="40"/>
              <w:jc w:val="center"/>
            </w:pPr>
            <w:r/>
            <w:r>
              <w:rPr>
                <w:rFonts w:ascii="Liberation Serif" w:hAnsi="Liberation Serif"/>
                <w:b/>
                <w:sz w:val="19"/>
              </w:rPr>
              <w:t>Actor</w:t>
            </w:r>
          </w:p>
        </w:tc>
        <w:tc>
          <w:tcPr>
            <w:tcW w:type="dxa" w:w="3402"/>
          </w:tcPr>
          <w:p>
            <w:pPr>
              <w:spacing w:after="40"/>
              <w:jc w:val="center"/>
            </w:pPr>
            <w:r/>
            <w:r>
              <w:rPr>
                <w:rFonts w:ascii="Liberation Serif" w:hAnsi="Liberation Serif"/>
                <w:b/>
                <w:sz w:val="19"/>
              </w:rPr>
              <w:t>Acción</w:t>
            </w:r>
          </w:p>
        </w:tc>
        <w:tc>
          <w:tcPr>
            <w:tcW w:type="dxa" w:w="2494"/>
            <w:gridSpan w:val="2"/>
          </w:tcPr>
          <w:p>
            <w:pPr>
              <w:spacing w:after="40"/>
              <w:jc w:val="center"/>
            </w:pPr>
            <w:r/>
            <w:r>
              <w:rPr>
                <w:rFonts w:ascii="Liberation Serif" w:hAnsi="Liberation Serif"/>
                <w:b/>
                <w:sz w:val="19"/>
              </w:rPr>
              <w:t>Respuesta del Sistema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Selecciona la obra y la fecha de corte.</w:t>
            </w:r>
          </w:p>
        </w:tc>
        <w:tc>
          <w:tcPr>
            <w:tcW w:type="dxa" w:w="2494"/>
            <w:gridSpan w:val="2"/>
          </w:tcPr>
          <w:p>
            <w:pPr>
              <w:spacing w:after="40"/>
            </w:pPr>
            <w:r/>
            <w:r>
              <w:rPr>
                <w:rFonts w:ascii="Liberation Serif" w:hAnsi="Liberation Serif"/>
                <w:b w:val="0"/>
                <w:sz w:val="19"/>
              </w:rPr>
              <w:t>Comprueba que la obra pertenezca a la organización del actor.</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Solicita la Curva S.</w:t>
            </w:r>
          </w:p>
        </w:tc>
        <w:tc>
          <w:tcPr>
            <w:tcW w:type="dxa" w:w="2494"/>
            <w:gridSpan w:val="2"/>
          </w:tcPr>
          <w:p>
            <w:pPr>
              <w:spacing w:after="40"/>
            </w:pPr>
            <w:r/>
            <w:r>
              <w:rPr>
                <w:rFonts w:ascii="Liberation Serif" w:hAnsi="Liberation Serif"/>
                <w:b w:val="0"/>
                <w:sz w:val="19"/>
              </w:rPr>
              <w:t>Calcula a la misma fecha de corte las series de avance físico, avance financiero y físico pendiente de movimiento vigente, y explica unidad y ponderación.</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Solicita el resumen por rubro.</w:t>
            </w:r>
          </w:p>
        </w:tc>
        <w:tc>
          <w:tcPr>
            <w:tcW w:type="dxa" w:w="2494"/>
            <w:gridSpan w:val="2"/>
          </w:tcPr>
          <w:p>
            <w:pPr>
              <w:spacing w:after="40"/>
            </w:pPr>
            <w:r/>
            <w:r>
              <w:rPr>
                <w:rFonts w:ascii="Liberation Serif" w:hAnsi="Liberation Serif"/>
                <w:b w:val="0"/>
                <w:sz w:val="19"/>
              </w:rPr>
              <w:t>Muestra presupuesto vigente, costos propios y subcontratados, certificaciones y saldos por obra y rubro, cada total con fecha de corte, unidad, moneda y procedencia.</w:t>
            </w:r>
          </w:p>
        </w:tc>
      </w:tr>
      <w:tr>
        <w:tc>
          <w:tcPr>
            <w:tcW w:type="dxa" w:w="1928"/>
          </w:tcPr>
          <w:p>
            <w:pPr>
              <w:spacing w:after="40"/>
            </w:pPr>
            <w:r/>
            <w:r>
              <w:rPr>
                <w:rFonts w:ascii="Liberation Serif" w:hAnsi="Liberation Serif"/>
                <w:b w:val="0"/>
                <w:sz w:val="19"/>
              </w:rPr>
              <w:t>Administrador</w:t>
            </w:r>
          </w:p>
        </w:tc>
        <w:tc>
          <w:tcPr>
            <w:tcW w:type="dxa" w:w="3402"/>
          </w:tcPr>
          <w:p>
            <w:pPr>
              <w:spacing w:after="40"/>
            </w:pPr>
            <w:r/>
            <w:r>
              <w:rPr>
                <w:rFonts w:ascii="Liberation Serif" w:hAnsi="Liberation Serif"/>
                <w:b w:val="0"/>
                <w:sz w:val="19"/>
              </w:rPr>
              <w:t>Selecciona una cifra.</w:t>
            </w:r>
          </w:p>
        </w:tc>
        <w:tc>
          <w:tcPr>
            <w:tcW w:type="dxa" w:w="2494"/>
            <w:gridSpan w:val="2"/>
          </w:tcPr>
          <w:p>
            <w:pPr>
              <w:spacing w:after="40"/>
            </w:pPr>
            <w:r/>
            <w:r>
              <w:rPr>
                <w:rFonts w:ascii="Liberation Serif" w:hAnsi="Liberation Serif"/>
                <w:b w:val="0"/>
                <w:sz w:val="19"/>
              </w:rPr>
              <w:t>Presenta el registro o el documento fuente que la respalda.</w:t>
            </w:r>
          </w:p>
        </w:tc>
      </w:tr>
      <w:tr>
        <w:tc>
          <w:tcPr>
            <w:tcW w:type="dxa" w:w="1928"/>
          </w:tcPr>
          <w:p>
            <w:pPr>
              <w:spacing w:after="40"/>
            </w:pPr>
            <w:r/>
            <w:r>
              <w:rPr>
                <w:rFonts w:ascii="Liberation Serif" w:hAnsi="Liberation Serif"/>
                <w:b/>
                <w:sz w:val="19"/>
              </w:rPr>
              <w:t>Flujo Alternativo</w:t>
            </w:r>
          </w:p>
        </w:tc>
        <w:tc>
          <w:tcPr>
            <w:tcW w:type="dxa" w:w="2494"/>
            <w:gridSpan w:val="3"/>
          </w:tcPr>
          <w:p>
            <w:pPr>
              <w:spacing w:after="40"/>
            </w:pPr>
            <w:r/>
            <w:r>
              <w:rPr>
                <w:rFonts w:ascii="Liberation Serif" w:hAnsi="Liberation Serif"/>
                <w:b w:val="0"/>
                <w:sz w:val="19"/>
              </w:rPr>
              <w:t>No tiene.</w:t>
            </w:r>
          </w:p>
        </w:tc>
      </w:tr>
      <w:tr>
        <w:tc>
          <w:tcPr>
            <w:tcW w:type="dxa" w:w="1928"/>
          </w:tcPr>
          <w:p>
            <w:pPr>
              <w:spacing w:after="40"/>
            </w:pPr>
            <w:r/>
            <w:r>
              <w:rPr>
                <w:rFonts w:ascii="Liberation Serif" w:hAnsi="Liberation Serif"/>
                <w:b/>
                <w:sz w:val="19"/>
              </w:rPr>
              <w:t>Excepciones</w:t>
            </w:r>
          </w:p>
        </w:tc>
        <w:tc>
          <w:tcPr>
            <w:tcW w:type="dxa" w:w="2494"/>
            <w:gridSpan w:val="3"/>
          </w:tcPr>
          <w:p>
            <w:pPr>
              <w:spacing w:after="40"/>
            </w:pPr>
            <w:r/>
            <w:r>
              <w:rPr>
                <w:rFonts w:ascii="Liberation Serif" w:hAnsi="Liberation Serif"/>
                <w:b w:val="0"/>
                <w:sz w:val="19"/>
              </w:rPr>
              <w:t>E1 (paso 1, PR-02). Obra de otra organización: la obra no pertenece a la organización del actor; el sistema no muestra sus datos.</w:t>
            </w:r>
            <w:r>
              <w:rPr>
                <w:rFonts w:ascii="Liberation Serif" w:hAnsi="Liberation Serif"/>
                <w:b w:val="0"/>
                <w:sz w:val="19"/>
              </w:rPr>
              <w:br/>
              <w:t>E2 (RNF-01). El actor no tiene rol vigente sobre la obra: el sistema deniega la consulta.</w:t>
            </w:r>
          </w:p>
        </w:tc>
      </w:tr>
    </w:tbl>
    <w:p>
      <w:pPr>
        <w:sectPr>
          <w:headerReference w:type="default" r:id="rId184"/>
          <w:footerReference w:type="default" r:id="rId185"/>
          <w:pgSz w:w="11906" w:h="16838"/>
          <w:pgMar w:top="1247" w:right="1417" w:bottom="1247" w:left="1417" w:header="720" w:footer="720" w:gutter="0"/>
          <w:cols w:space="720"/>
          <w:docGrid w:linePitch="360"/>
        </w:sectPr>
      </w:pPr>
    </w:p>
    <w:p>
      <w:pPr>
        <w:pStyle w:val="Heading3"/>
      </w:pPr>
      <w:r>
        <w:t>Modelo Estructural</w:t>
      </w:r>
    </w:p>
    <w:p>
      <w:pPr>
        <w:spacing w:after="120"/>
      </w:pPr>
      <w:r>
        <w:rPr>
          <w:b w:val="0"/>
          <w:sz w:val="20"/>
        </w:rPr>
        <w:t>Clases que participan para resolver el caso de uso, por capa: «Boundary» (adaptadores de interfaz), «Control» (casos de uso) y «Entity» (dominio), con los puertos «Interface» que declara el dominio.</w:t>
      </w:r>
    </w:p>
    <w:p>
      <w:pPr>
        <w:jc w:val="center"/>
      </w:pPr>
      <w:r>
        <w:drawing>
          <wp:inline xmlns:a="http://schemas.openxmlformats.org/drawingml/2006/main" xmlns:pic="http://schemas.openxmlformats.org/drawingml/2006/picture">
            <wp:extent cx="9000000" cy="4737319"/>
            <wp:docPr id="102" name="Picture 102"/>
            <wp:cNvGraphicFramePr>
              <a:graphicFrameLocks noChangeAspect="1"/>
            </wp:cNvGraphicFramePr>
            <a:graphic>
              <a:graphicData uri="http://schemas.openxmlformats.org/drawingml/2006/picture">
                <pic:pic>
                  <pic:nvPicPr>
                    <pic:cNvPr id="0" name="CU-16-clases.png"/>
                    <pic:cNvPicPr/>
                  </pic:nvPicPr>
                  <pic:blipFill>
                    <a:blip r:embed="rId190"/>
                    <a:stretch>
                      <a:fillRect/>
                    </a:stretch>
                  </pic:blipFill>
                  <pic:spPr>
                    <a:xfrm>
                      <a:off x="0" y="0"/>
                      <a:ext cx="9000000" cy="4737319"/>
                    </a:xfrm>
                    <a:prstGeom prst="rect"/>
                  </pic:spPr>
                </pic:pic>
              </a:graphicData>
            </a:graphic>
          </wp:inline>
        </w:drawing>
      </w:r>
    </w:p>
    <w:p>
      <w:pPr>
        <w:jc w:val="center"/>
      </w:pPr>
      <w:r>
        <w:rPr>
          <w:i/>
          <w:sz w:val="18"/>
        </w:rPr>
        <w:t>Figura 102. Clases del caso de uso CU-16.</w:t>
      </w:r>
    </w:p>
    <w:p>
      <w:pPr>
        <w:sectPr>
          <w:headerReference w:type="default" r:id="rId188"/>
          <w:footerReference w:type="default" r:id="rId189"/>
          <w:pgSz w:w="16838" w:h="11906" w:orient="landscape"/>
          <w:pgMar w:top="1361" w:right="1020" w:bottom="680" w:left="1020" w:header="720" w:footer="720" w:gutter="0"/>
          <w:cols w:space="720"/>
          <w:docGrid w:linePitch="360"/>
        </w:sectPr>
      </w:pPr>
    </w:p>
    <w:p>
      <w:pPr>
        <w:pStyle w:val="Heading3"/>
      </w:pPr>
      <w:r>
        <w:t>Modelo Dinámico</w:t>
      </w:r>
    </w:p>
    <w:p>
      <w:pPr>
        <w:spacing w:after="120"/>
      </w:pPr>
      <w:r>
        <w:rPr>
          <w:b w:val="0"/>
          <w:sz w:val="20"/>
        </w:rPr>
        <w:t>Interacción entre objetos de las clases anteriores para lograr el objetivo del caso de uso, y la misma colaboración vista entre componentes C4.</w:t>
      </w:r>
    </w:p>
    <w:p>
      <w:pPr>
        <w:jc w:val="center"/>
      </w:pPr>
      <w:r>
        <w:drawing>
          <wp:inline xmlns:a="http://schemas.openxmlformats.org/drawingml/2006/main" xmlns:pic="http://schemas.openxmlformats.org/drawingml/2006/picture">
            <wp:extent cx="5760000" cy="4033577"/>
            <wp:docPr id="103" name="Picture 103"/>
            <wp:cNvGraphicFramePr>
              <a:graphicFrameLocks noChangeAspect="1"/>
            </wp:cNvGraphicFramePr>
            <a:graphic>
              <a:graphicData uri="http://schemas.openxmlformats.org/drawingml/2006/picture">
                <pic:pic>
                  <pic:nvPicPr>
                    <pic:cNvPr id="0" name="CU-16-secuencia.png"/>
                    <pic:cNvPicPr/>
                  </pic:nvPicPr>
                  <pic:blipFill>
                    <a:blip r:embed="rId193"/>
                    <a:stretch>
                      <a:fillRect/>
                    </a:stretch>
                  </pic:blipFill>
                  <pic:spPr>
                    <a:xfrm>
                      <a:off x="0" y="0"/>
                      <a:ext cx="5760000" cy="4033577"/>
                    </a:xfrm>
                    <a:prstGeom prst="rect"/>
                  </pic:spPr>
                </pic:pic>
              </a:graphicData>
            </a:graphic>
          </wp:inline>
        </w:drawing>
      </w:r>
    </w:p>
    <w:p>
      <w:pPr>
        <w:jc w:val="center"/>
      </w:pPr>
      <w:r>
        <w:rPr>
          <w:i/>
          <w:sz w:val="18"/>
        </w:rPr>
        <w:t>Figura 103. Interacción del caso de uso CU-16.</w:t>
      </w:r>
    </w:p>
    <w:p>
      <w:pPr>
        <w:sectPr>
          <w:headerReference w:type="default" r:id="rId191"/>
          <w:footerReference w:type="default" r:id="rId192"/>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9000000" cy="4473955"/>
            <wp:docPr id="104" name="Picture 104"/>
            <wp:cNvGraphicFramePr>
              <a:graphicFrameLocks noChangeAspect="1"/>
            </wp:cNvGraphicFramePr>
            <a:graphic>
              <a:graphicData uri="http://schemas.openxmlformats.org/drawingml/2006/picture">
                <pic:pic>
                  <pic:nvPicPr>
                    <pic:cNvPr id="0" name="C4-CU16.png"/>
                    <pic:cNvPicPr/>
                  </pic:nvPicPr>
                  <pic:blipFill>
                    <a:blip r:embed="rId196"/>
                    <a:stretch>
                      <a:fillRect/>
                    </a:stretch>
                  </pic:blipFill>
                  <pic:spPr>
                    <a:xfrm>
                      <a:off x="0" y="0"/>
                      <a:ext cx="9000000" cy="4473955"/>
                    </a:xfrm>
                    <a:prstGeom prst="rect"/>
                  </pic:spPr>
                </pic:pic>
              </a:graphicData>
            </a:graphic>
          </wp:inline>
        </w:drawing>
      </w:r>
    </w:p>
    <w:p>
      <w:pPr>
        <w:jc w:val="center"/>
      </w:pPr>
      <w:r>
        <w:rPr>
          <w:i/>
          <w:sz w:val="18"/>
        </w:rPr>
        <w:t>Figura 104. Vista dinámica C4 de CU-16 entre componentes.</w:t>
      </w:r>
    </w:p>
    <w:p>
      <w:pPr>
        <w:sectPr>
          <w:headerReference w:type="default" r:id="rId194"/>
          <w:footerReference w:type="default" r:id="rId195"/>
          <w:pgSz w:w="16838" w:h="11906" w:orient="landscape"/>
          <w:pgMar w:top="1361" w:right="1020" w:bottom="680" w:left="1020" w:header="720" w:footer="720" w:gutter="0"/>
          <w:cols w:space="720"/>
          <w:docGrid w:linePitch="360"/>
        </w:sectPr>
      </w:pPr>
    </w:p>
    <w:p>
      <w:pPr>
        <w:pStyle w:val="Heading3"/>
      </w:pPr>
      <w:r>
        <w:t>Otros diagramas</w:t>
      </w:r>
    </w:p>
    <w:p>
      <w:pPr>
        <w:spacing w:after="120"/>
      </w:pPr>
      <w:r>
        <w:rPr>
          <w:b w:val="0"/>
          <w:sz w:val="20"/>
        </w:rPr>
        <w:t>Diagramas que completan la explicación del caso de uso sin repetir los anteriores.</w:t>
      </w:r>
    </w:p>
    <w:p>
      <w:pPr>
        <w:jc w:val="center"/>
      </w:pPr>
      <w:r>
        <w:drawing>
          <wp:inline xmlns:a="http://schemas.openxmlformats.org/drawingml/2006/main" xmlns:pic="http://schemas.openxmlformats.org/drawingml/2006/picture">
            <wp:extent cx="5760000" cy="5226528"/>
            <wp:docPr id="105" name="Picture 105"/>
            <wp:cNvGraphicFramePr>
              <a:graphicFrameLocks noChangeAspect="1"/>
            </wp:cNvGraphicFramePr>
            <a:graphic>
              <a:graphicData uri="http://schemas.openxmlformats.org/drawingml/2006/picture">
                <pic:pic>
                  <pic:nvPicPr>
                    <pic:cNvPr id="0" name="CU-16-actividades.png"/>
                    <pic:cNvPicPr/>
                  </pic:nvPicPr>
                  <pic:blipFill>
                    <a:blip r:embed="rId199"/>
                    <a:stretch>
                      <a:fillRect/>
                    </a:stretch>
                  </pic:blipFill>
                  <pic:spPr>
                    <a:xfrm>
                      <a:off x="0" y="0"/>
                      <a:ext cx="5760000" cy="5226528"/>
                    </a:xfrm>
                    <a:prstGeom prst="rect"/>
                  </pic:spPr>
                </pic:pic>
              </a:graphicData>
            </a:graphic>
          </wp:inline>
        </w:drawing>
      </w:r>
    </w:p>
    <w:p>
      <w:pPr>
        <w:jc w:val="center"/>
      </w:pPr>
      <w:r>
        <w:rPr>
          <w:i/>
          <w:sz w:val="18"/>
        </w:rPr>
        <w:t>Figura 105. Actividades del caso de uso CU-16, con sus caminos alternativos y de excepción.</w:t>
      </w:r>
    </w:p>
    <w:p>
      <w:pPr>
        <w:sectPr>
          <w:headerReference w:type="default" r:id="rId197"/>
          <w:footerReference w:type="default" r:id="rId198"/>
          <w:pgSz w:w="11906" w:h="16838"/>
          <w:pgMar w:top="1247" w:right="1417" w:bottom="1247" w:left="1417" w:header="720" w:footer="720" w:gutter="0"/>
          <w:cols w:space="720"/>
          <w:docGrid w:linePitch="360"/>
        </w:sectPr>
      </w:pPr>
    </w:p>
    <w:p>
      <w:pPr>
        <w:pStyle w:val="Heading2"/>
      </w:pPr>
      <w:r>
        <w:t>Matriz de Requerimientos vs Casos de Uso</w:t>
      </w:r>
    </w:p>
    <w:p>
      <w:pPr>
        <w:spacing w:after="120"/>
      </w:pPr>
      <w:r>
        <w:rPr>
          <w:b w:val="0"/>
          <w:sz w:val="17"/>
        </w:rPr>
        <w:t>CU-01 Crear obra y asignar responsables · CU-02 Importar presupuesto y cronograma · CU-03 Confirmar estructura y activar versión vigente · CU-04 Registrar medición oficial · CU-05 Aprobar o rechazar medición oficial · CU-06 Cerrar período de medición · CU-07 Generar borrador de certificado · CU-08 Corregir certificado emitido · CU-09 Emitir certificado de avance · CU-10 Derivar documento financiero en ERP · CU-11 Proponer y aprobar movimiento presupuestario · CU-12 Registrar contrato de subcontrato · CU-13 Consultar estado del subcontrato · CU-14 Certificar y valorizar subcontrato · CU-15 Calcular costos por vía · CU-16 Consultar reportes y Curva S</w:t>
      </w:r>
    </w:p>
    <w:tbl>
      <w:tblPr>
        <w:tblStyle w:val="TableGrid"/>
        <w:tblW w:type="auto" w:w="0"/>
        <w:tblLook w:firstColumn="1" w:firstRow="1" w:lastColumn="0" w:lastRow="0" w:noHBand="0" w:noVBand="1" w:val="04A0"/>
      </w:tblPr>
      <w:tblGrid>
        <w:gridCol w:w="870"/>
        <w:gridCol w:w="870"/>
        <w:gridCol w:w="870"/>
        <w:gridCol w:w="870"/>
        <w:gridCol w:w="870"/>
        <w:gridCol w:w="870"/>
        <w:gridCol w:w="870"/>
        <w:gridCol w:w="870"/>
        <w:gridCol w:w="870"/>
        <w:gridCol w:w="870"/>
        <w:gridCol w:w="870"/>
        <w:gridCol w:w="870"/>
        <w:gridCol w:w="870"/>
        <w:gridCol w:w="870"/>
        <w:gridCol w:w="870"/>
        <w:gridCol w:w="870"/>
        <w:gridCol w:w="870"/>
      </w:tblGrid>
      <w:tr>
        <w:trPr>
          <w:tblHeader w:val="true"/>
        </w:trPr>
        <w:tc>
          <w:tcPr>
            <w:tcW w:type="dxa" w:w="1474"/>
          </w:tcPr>
          <w:p>
            <w:pPr>
              <w:spacing w:after="0"/>
            </w:pPr>
            <w:r/>
            <w:r>
              <w:rPr>
                <w:rFonts w:ascii="Liberation Serif" w:hAnsi="Liberation Serif"/>
                <w:b/>
                <w:sz w:val="16"/>
              </w:rPr>
              <w:t>Requerimiento</w:t>
            </w:r>
          </w:p>
        </w:tc>
        <w:tc>
          <w:tcPr>
            <w:tcW w:type="dxa" w:w="754"/>
          </w:tcPr>
          <w:p>
            <w:pPr>
              <w:spacing w:after="0"/>
              <w:jc w:val="center"/>
            </w:pPr>
            <w:r/>
            <w:r>
              <w:rPr>
                <w:rFonts w:ascii="Liberation Serif" w:hAnsi="Liberation Serif"/>
                <w:b/>
                <w:sz w:val="16"/>
              </w:rPr>
              <w:t>01</w:t>
            </w:r>
          </w:p>
        </w:tc>
        <w:tc>
          <w:tcPr>
            <w:tcW w:type="dxa" w:w="754"/>
          </w:tcPr>
          <w:p>
            <w:pPr>
              <w:spacing w:after="0"/>
              <w:jc w:val="center"/>
            </w:pPr>
            <w:r/>
            <w:r>
              <w:rPr>
                <w:rFonts w:ascii="Liberation Serif" w:hAnsi="Liberation Serif"/>
                <w:b/>
                <w:sz w:val="16"/>
              </w:rPr>
              <w:t>02</w:t>
            </w:r>
          </w:p>
        </w:tc>
        <w:tc>
          <w:tcPr>
            <w:tcW w:type="dxa" w:w="754"/>
          </w:tcPr>
          <w:p>
            <w:pPr>
              <w:spacing w:after="0"/>
              <w:jc w:val="center"/>
            </w:pPr>
            <w:r/>
            <w:r>
              <w:rPr>
                <w:rFonts w:ascii="Liberation Serif" w:hAnsi="Liberation Serif"/>
                <w:b/>
                <w:sz w:val="16"/>
              </w:rPr>
              <w:t>03</w:t>
            </w:r>
          </w:p>
        </w:tc>
        <w:tc>
          <w:tcPr>
            <w:tcW w:type="dxa" w:w="754"/>
          </w:tcPr>
          <w:p>
            <w:pPr>
              <w:spacing w:after="0"/>
              <w:jc w:val="center"/>
            </w:pPr>
            <w:r/>
            <w:r>
              <w:rPr>
                <w:rFonts w:ascii="Liberation Serif" w:hAnsi="Liberation Serif"/>
                <w:b/>
                <w:sz w:val="16"/>
              </w:rPr>
              <w:t>04</w:t>
            </w:r>
          </w:p>
        </w:tc>
        <w:tc>
          <w:tcPr>
            <w:tcW w:type="dxa" w:w="754"/>
          </w:tcPr>
          <w:p>
            <w:pPr>
              <w:spacing w:after="0"/>
              <w:jc w:val="center"/>
            </w:pPr>
            <w:r/>
            <w:r>
              <w:rPr>
                <w:rFonts w:ascii="Liberation Serif" w:hAnsi="Liberation Serif"/>
                <w:b/>
                <w:sz w:val="16"/>
              </w:rPr>
              <w:t>05</w:t>
            </w:r>
          </w:p>
        </w:tc>
        <w:tc>
          <w:tcPr>
            <w:tcW w:type="dxa" w:w="754"/>
          </w:tcPr>
          <w:p>
            <w:pPr>
              <w:spacing w:after="0"/>
              <w:jc w:val="center"/>
            </w:pPr>
            <w:r/>
            <w:r>
              <w:rPr>
                <w:rFonts w:ascii="Liberation Serif" w:hAnsi="Liberation Serif"/>
                <w:b/>
                <w:sz w:val="16"/>
              </w:rPr>
              <w:t>06</w:t>
            </w:r>
          </w:p>
        </w:tc>
        <w:tc>
          <w:tcPr>
            <w:tcW w:type="dxa" w:w="754"/>
          </w:tcPr>
          <w:p>
            <w:pPr>
              <w:spacing w:after="0"/>
              <w:jc w:val="center"/>
            </w:pPr>
            <w:r/>
            <w:r>
              <w:rPr>
                <w:rFonts w:ascii="Liberation Serif" w:hAnsi="Liberation Serif"/>
                <w:b/>
                <w:sz w:val="16"/>
              </w:rPr>
              <w:t>07</w:t>
            </w:r>
          </w:p>
        </w:tc>
        <w:tc>
          <w:tcPr>
            <w:tcW w:type="dxa" w:w="754"/>
          </w:tcPr>
          <w:p>
            <w:pPr>
              <w:spacing w:after="0"/>
              <w:jc w:val="center"/>
            </w:pPr>
            <w:r/>
            <w:r>
              <w:rPr>
                <w:rFonts w:ascii="Liberation Serif" w:hAnsi="Liberation Serif"/>
                <w:b/>
                <w:sz w:val="16"/>
              </w:rPr>
              <w:t>08</w:t>
            </w:r>
          </w:p>
        </w:tc>
        <w:tc>
          <w:tcPr>
            <w:tcW w:type="dxa" w:w="754"/>
          </w:tcPr>
          <w:p>
            <w:pPr>
              <w:spacing w:after="0"/>
              <w:jc w:val="center"/>
            </w:pPr>
            <w:r/>
            <w:r>
              <w:rPr>
                <w:rFonts w:ascii="Liberation Serif" w:hAnsi="Liberation Serif"/>
                <w:b/>
                <w:sz w:val="16"/>
              </w:rPr>
              <w:t>09</w:t>
            </w:r>
          </w:p>
        </w:tc>
        <w:tc>
          <w:tcPr>
            <w:tcW w:type="dxa" w:w="754"/>
          </w:tcPr>
          <w:p>
            <w:pPr>
              <w:spacing w:after="0"/>
              <w:jc w:val="center"/>
            </w:pPr>
            <w:r/>
            <w:r>
              <w:rPr>
                <w:rFonts w:ascii="Liberation Serif" w:hAnsi="Liberation Serif"/>
                <w:b/>
                <w:sz w:val="16"/>
              </w:rPr>
              <w:t>10</w:t>
            </w:r>
          </w:p>
        </w:tc>
        <w:tc>
          <w:tcPr>
            <w:tcW w:type="dxa" w:w="754"/>
          </w:tcPr>
          <w:p>
            <w:pPr>
              <w:spacing w:after="0"/>
              <w:jc w:val="center"/>
            </w:pPr>
            <w:r/>
            <w:r>
              <w:rPr>
                <w:rFonts w:ascii="Liberation Serif" w:hAnsi="Liberation Serif"/>
                <w:b/>
                <w:sz w:val="16"/>
              </w:rPr>
              <w:t>11</w:t>
            </w:r>
          </w:p>
        </w:tc>
        <w:tc>
          <w:tcPr>
            <w:tcW w:type="dxa" w:w="754"/>
          </w:tcPr>
          <w:p>
            <w:pPr>
              <w:spacing w:after="0"/>
              <w:jc w:val="center"/>
            </w:pPr>
            <w:r/>
            <w:r>
              <w:rPr>
                <w:rFonts w:ascii="Liberation Serif" w:hAnsi="Liberation Serif"/>
                <w:b/>
                <w:sz w:val="16"/>
              </w:rPr>
              <w:t>12</w:t>
            </w:r>
          </w:p>
        </w:tc>
        <w:tc>
          <w:tcPr>
            <w:tcW w:type="dxa" w:w="754"/>
          </w:tcPr>
          <w:p>
            <w:pPr>
              <w:spacing w:after="0"/>
              <w:jc w:val="center"/>
            </w:pPr>
            <w:r/>
            <w:r>
              <w:rPr>
                <w:rFonts w:ascii="Liberation Serif" w:hAnsi="Liberation Serif"/>
                <w:b/>
                <w:sz w:val="16"/>
              </w:rPr>
              <w:t>13</w:t>
            </w:r>
          </w:p>
        </w:tc>
        <w:tc>
          <w:tcPr>
            <w:tcW w:type="dxa" w:w="754"/>
          </w:tcPr>
          <w:p>
            <w:pPr>
              <w:spacing w:after="0"/>
              <w:jc w:val="center"/>
            </w:pPr>
            <w:r/>
            <w:r>
              <w:rPr>
                <w:rFonts w:ascii="Liberation Serif" w:hAnsi="Liberation Serif"/>
                <w:b/>
                <w:sz w:val="16"/>
              </w:rPr>
              <w:t>14</w:t>
            </w:r>
          </w:p>
        </w:tc>
        <w:tc>
          <w:tcPr>
            <w:tcW w:type="dxa" w:w="754"/>
          </w:tcPr>
          <w:p>
            <w:pPr>
              <w:spacing w:after="0"/>
              <w:jc w:val="center"/>
            </w:pPr>
            <w:r/>
            <w:r>
              <w:rPr>
                <w:rFonts w:ascii="Liberation Serif" w:hAnsi="Liberation Serif"/>
                <w:b/>
                <w:sz w:val="16"/>
              </w:rPr>
              <w:t>15</w:t>
            </w:r>
          </w:p>
        </w:tc>
        <w:tc>
          <w:tcPr>
            <w:tcW w:type="dxa" w:w="754"/>
          </w:tcPr>
          <w:p>
            <w:pPr>
              <w:spacing w:after="0"/>
              <w:jc w:val="center"/>
            </w:pPr>
            <w:r/>
            <w:r>
              <w:rPr>
                <w:rFonts w:ascii="Liberation Serif" w:hAnsi="Liberation Serif"/>
                <w:b/>
                <w:sz w:val="16"/>
              </w:rPr>
              <w:t>16</w:t>
            </w:r>
          </w:p>
        </w:tc>
      </w:tr>
      <w:tr>
        <w:tc>
          <w:tcPr>
            <w:tcW w:type="dxa" w:w="1474"/>
          </w:tcPr>
          <w:p>
            <w:pPr>
              <w:spacing w:after="0"/>
            </w:pPr>
            <w:r/>
            <w:r>
              <w:rPr>
                <w:rFonts w:ascii="Liberation Serif" w:hAnsi="Liberation Serif"/>
                <w:b w:val="0"/>
                <w:sz w:val="16"/>
              </w:rPr>
              <w:t>RF-01</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RF-02</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RF-03</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RF-04</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RF-05</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RF-06</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RF-07</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RF-08</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RF-09</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RF-10</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RF-11</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RF-12</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RF-13</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RF-14</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RF-15</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RF-16</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RF-17</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RF-18</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RF-19</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RF-20</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RF-21</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RF-22</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RF-23</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RF-24</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RF-25</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RF-26</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RF-27</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r>
      <w:tr>
        <w:tc>
          <w:tcPr>
            <w:tcW w:type="dxa" w:w="1474"/>
          </w:tcPr>
          <w:p>
            <w:pPr>
              <w:spacing w:after="0"/>
            </w:pPr>
            <w:r/>
            <w:r>
              <w:rPr>
                <w:rFonts w:ascii="Liberation Serif" w:hAnsi="Liberation Serif"/>
                <w:b w:val="0"/>
                <w:sz w:val="16"/>
              </w:rPr>
              <w:t>RF-28</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r>
      <w:tr>
        <w:tc>
          <w:tcPr>
            <w:tcW w:type="dxa" w:w="1474"/>
          </w:tcPr>
          <w:p>
            <w:pPr>
              <w:spacing w:after="0"/>
            </w:pPr>
            <w:r/>
            <w:r>
              <w:rPr>
                <w:rFonts w:ascii="Liberation Serif" w:hAnsi="Liberation Serif"/>
                <w:b w:val="0"/>
                <w:sz w:val="16"/>
              </w:rPr>
              <w:t>RNF-01</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r>
      <w:tr>
        <w:tc>
          <w:tcPr>
            <w:tcW w:type="dxa" w:w="1474"/>
          </w:tcPr>
          <w:p>
            <w:pPr>
              <w:spacing w:after="0"/>
            </w:pPr>
            <w:r/>
            <w:r>
              <w:rPr>
                <w:rFonts w:ascii="Liberation Serif" w:hAnsi="Liberation Serif"/>
                <w:b w:val="0"/>
                <w:sz w:val="16"/>
              </w:rPr>
              <w:t>RNF-02</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RNF-03</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RNF-04</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RNF-05</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RNF-06</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RNF-07</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RNF-08</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RNF-09</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RNF-10</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RNF-11</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r>
      <w:tr>
        <w:tc>
          <w:tcPr>
            <w:tcW w:type="dxa" w:w="1474"/>
          </w:tcPr>
          <w:p>
            <w:pPr>
              <w:spacing w:after="0"/>
            </w:pPr>
            <w:r/>
            <w:r>
              <w:rPr>
                <w:rFonts w:ascii="Liberation Serif" w:hAnsi="Liberation Serif"/>
                <w:b w:val="0"/>
                <w:sz w:val="16"/>
              </w:rPr>
              <w:t>RNF-12</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PR-01</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r>
      <w:tr>
        <w:tc>
          <w:tcPr>
            <w:tcW w:type="dxa" w:w="1474"/>
          </w:tcPr>
          <w:p>
            <w:pPr>
              <w:spacing w:after="0"/>
            </w:pPr>
            <w:r/>
            <w:r>
              <w:rPr>
                <w:rFonts w:ascii="Liberation Serif" w:hAnsi="Liberation Serif"/>
                <w:b w:val="0"/>
                <w:sz w:val="16"/>
              </w:rPr>
              <w:t>PR-02</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r>
      <w:tr>
        <w:tc>
          <w:tcPr>
            <w:tcW w:type="dxa" w:w="1474"/>
          </w:tcPr>
          <w:p>
            <w:pPr>
              <w:spacing w:after="0"/>
            </w:pPr>
            <w:r/>
            <w:r>
              <w:rPr>
                <w:rFonts w:ascii="Liberation Serif" w:hAnsi="Liberation Serif"/>
                <w:b w:val="0"/>
                <w:sz w:val="16"/>
              </w:rPr>
              <w:t>PR-03</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PR-04</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PR-05</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PR-06</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PR-07</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r>
      <w:tr>
        <w:tc>
          <w:tcPr>
            <w:tcW w:type="dxa" w:w="1474"/>
          </w:tcPr>
          <w:p>
            <w:pPr>
              <w:spacing w:after="0"/>
            </w:pPr>
            <w:r/>
            <w:r>
              <w:rPr>
                <w:rFonts w:ascii="Liberation Serif" w:hAnsi="Liberation Serif"/>
                <w:b w:val="0"/>
                <w:sz w:val="16"/>
              </w:rPr>
              <w:t>PR-08</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t>●</w:t>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c>
          <w:tcPr>
            <w:tcW w:type="dxa" w:w="754"/>
          </w:tcPr>
          <w:p>
            <w:pPr>
              <w:spacing w:after="0"/>
              <w:jc w:val="center"/>
            </w:pPr>
            <w:r/>
            <w:r>
              <w:rPr>
                <w:rFonts w:ascii="Liberation Serif" w:hAnsi="Liberation Serif"/>
                <w:b w:val="0"/>
                <w:sz w:val="16"/>
              </w:rPr>
            </w:r>
          </w:p>
        </w:tc>
      </w:tr>
    </w:tbl>
    <w:p>
      <w:pPr>
        <w:spacing w:after="120"/>
      </w:pPr>
      <w:r>
        <w:rPr>
          <w:b w:val="0"/>
          <w:sz w:val="18"/>
        </w:rPr>
        <w:t>Los 48 identificadores del catálogo quedan cubiertos: 28 funcionales, 12 no funcionales y 8 restricciones de plataforma. Las columnas corresponden a los casos de uso CU-01 a CU-16.</w:t>
      </w:r>
    </w:p>
    <w:p>
      <w:pPr>
        <w:sectPr>
          <w:headerReference w:type="default" r:id="rId200"/>
          <w:footerReference w:type="default" r:id="rId201"/>
          <w:pgSz w:w="16838" w:h="11906" w:orient="landscape"/>
          <w:pgMar w:top="1361" w:right="1020" w:bottom="680" w:left="1020" w:header="720" w:footer="720" w:gutter="0"/>
          <w:cols w:space="720"/>
          <w:docGrid w:linePitch="360"/>
        </w:sectPr>
      </w:pPr>
    </w:p>
    <w:p>
      <w:pPr>
        <w:pStyle w:val="Heading1"/>
      </w:pPr>
      <w:r>
        <w:t>Modelo de Diseño</w:t>
      </w:r>
    </w:p>
    <w:p>
      <w:pPr>
        <w:pStyle w:val="Heading2"/>
      </w:pPr>
      <w:r>
        <w:t>Diagrama de Clases Persistentes</w:t>
      </w:r>
    </w:p>
    <w:p>
      <w:pPr>
        <w:spacing w:after="120"/>
      </w:pPr>
      <w:r>
        <w:rPr>
          <w:b w:val="0"/>
        </w:rPr>
        <w:t>Las clases persistentes son 28, agrupadas en paquetes y repartidas en dos figuras complementarias para que resulten legibles. Los 18 atributos marcados con una barra inclinada son derivados: se calculan a partir de los registros aprobados y no se almacenan, de modo que no puedan discrepar de su origen. Los puntos suspensivos indican atributos elididos; el detalle completo de columnas y tipos figura en el diagrama de entidad relación. Valorizacion es un objeto de valor y no persiste por sí mismo.</w:t>
      </w:r>
    </w:p>
    <w:p>
      <w:pPr>
        <w:sectPr>
          <w:headerReference w:type="default" r:id="rId202"/>
          <w:footerReference w:type="default" r:id="rId203"/>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8106487" cy="5652000"/>
            <wp:docPr id="106" name="Picture 106"/>
            <wp:cNvGraphicFramePr>
              <a:graphicFrameLocks noChangeAspect="1"/>
            </wp:cNvGraphicFramePr>
            <a:graphic>
              <a:graphicData uri="http://schemas.openxmlformats.org/drawingml/2006/picture">
                <pic:pic>
                  <pic:nvPicPr>
                    <pic:cNvPr id="0" name="clases-persistentes-A.png"/>
                    <pic:cNvPicPr/>
                  </pic:nvPicPr>
                  <pic:blipFill>
                    <a:blip r:embed="rId206"/>
                    <a:stretch>
                      <a:fillRect/>
                    </a:stretch>
                  </pic:blipFill>
                  <pic:spPr>
                    <a:xfrm>
                      <a:off x="0" y="0"/>
                      <a:ext cx="8106487" cy="5652000"/>
                    </a:xfrm>
                    <a:prstGeom prst="rect"/>
                  </pic:spPr>
                </pic:pic>
              </a:graphicData>
            </a:graphic>
          </wp:inline>
        </w:drawing>
      </w:r>
    </w:p>
    <w:p>
      <w:pPr>
        <w:jc w:val="center"/>
      </w:pPr>
      <w:r>
        <w:rPr>
          <w:i/>
          <w:sz w:val="18"/>
        </w:rPr>
        <w:t>Figura 106. Clases persistentes (A): obra y presupuesto.</w:t>
      </w:r>
    </w:p>
    <w:p>
      <w:pPr>
        <w:jc w:val="center"/>
      </w:pPr>
      <w:r>
        <w:drawing>
          <wp:inline xmlns:a="http://schemas.openxmlformats.org/drawingml/2006/main" xmlns:pic="http://schemas.openxmlformats.org/drawingml/2006/picture">
            <wp:extent cx="7842885" cy="5652000"/>
            <wp:docPr id="107" name="Picture 107"/>
            <wp:cNvGraphicFramePr>
              <a:graphicFrameLocks noChangeAspect="1"/>
            </wp:cNvGraphicFramePr>
            <a:graphic>
              <a:graphicData uri="http://schemas.openxmlformats.org/drawingml/2006/picture">
                <pic:pic>
                  <pic:nvPicPr>
                    <pic:cNvPr id="0" name="clases-persistentes-B.png"/>
                    <pic:cNvPicPr/>
                  </pic:nvPicPr>
                  <pic:blipFill>
                    <a:blip r:embed="rId207"/>
                    <a:stretch>
                      <a:fillRect/>
                    </a:stretch>
                  </pic:blipFill>
                  <pic:spPr>
                    <a:xfrm>
                      <a:off x="0" y="0"/>
                      <a:ext cx="7842885" cy="5652000"/>
                    </a:xfrm>
                    <a:prstGeom prst="rect"/>
                  </pic:spPr>
                </pic:pic>
              </a:graphicData>
            </a:graphic>
          </wp:inline>
        </w:drawing>
      </w:r>
    </w:p>
    <w:p>
      <w:pPr>
        <w:jc w:val="center"/>
      </w:pPr>
      <w:r>
        <w:rPr>
          <w:i/>
          <w:sz w:val="18"/>
        </w:rPr>
        <w:t>Figura 107. Clases persistentes (B): medición y certificación.</w:t>
      </w:r>
    </w:p>
    <w:p>
      <w:pPr>
        <w:sectPr>
          <w:headerReference w:type="default" r:id="rId204"/>
          <w:footerReference w:type="default" r:id="rId205"/>
          <w:pgSz w:w="16838" w:h="11906" w:orient="landscape"/>
          <w:pgMar w:top="1361" w:right="1020" w:bottom="680" w:left="1020" w:header="720" w:footer="720" w:gutter="0"/>
          <w:cols w:space="720"/>
          <w:docGrid w:linePitch="360"/>
        </w:sectPr>
      </w:pPr>
    </w:p>
    <w:p>
      <w:pPr>
        <w:pStyle w:val="Heading2"/>
      </w:pPr>
      <w:r>
        <w:t>Diagrama de Entidad Relación</w:t>
      </w:r>
    </w:p>
    <w:p>
      <w:pPr>
        <w:spacing w:after="120"/>
      </w:pPr>
      <w:r>
        <w:rPr>
          <w:b w:val="0"/>
        </w:rPr>
        <w:t>El modelo relacional comprende 28 tablas y 42 relaciones, en notación de pata de gallo. El símbolo ● identifica una columna obligatoria; «PK» y «FK» señalan la clave primaria y las claves foráneas. Los atributos derivados del diagrama anterior no aparecen como columnas.</w:t>
      </w:r>
    </w:p>
    <w:p>
      <w:pPr>
        <w:sectPr>
          <w:headerReference w:type="default" r:id="rId208"/>
          <w:footerReference w:type="default" r:id="rId209"/>
          <w:pgSz w:w="11906" w:h="16838"/>
          <w:pgMar w:top="1247" w:right="1417" w:bottom="1247" w:left="1417" w:header="720" w:footer="720" w:gutter="0"/>
          <w:cols w:space="720"/>
          <w:docGrid w:linePitch="360"/>
        </w:sectPr>
      </w:pPr>
    </w:p>
    <w:p>
      <w:pPr>
        <w:jc w:val="center"/>
      </w:pPr>
      <w:r>
        <w:drawing>
          <wp:inline xmlns:a="http://schemas.openxmlformats.org/drawingml/2006/main" xmlns:pic="http://schemas.openxmlformats.org/drawingml/2006/picture">
            <wp:extent cx="6710989" cy="5652000"/>
            <wp:docPr id="108" name="Picture 108"/>
            <wp:cNvGraphicFramePr>
              <a:graphicFrameLocks noChangeAspect="1"/>
            </wp:cNvGraphicFramePr>
            <a:graphic>
              <a:graphicData uri="http://schemas.openxmlformats.org/drawingml/2006/picture">
                <pic:pic>
                  <pic:nvPicPr>
                    <pic:cNvPr id="0" name="entidad-relacion.png"/>
                    <pic:cNvPicPr/>
                  </pic:nvPicPr>
                  <pic:blipFill>
                    <a:blip r:embed="rId212"/>
                    <a:stretch>
                      <a:fillRect/>
                    </a:stretch>
                  </pic:blipFill>
                  <pic:spPr>
                    <a:xfrm>
                      <a:off x="0" y="0"/>
                      <a:ext cx="6710989" cy="5652000"/>
                    </a:xfrm>
                    <a:prstGeom prst="rect"/>
                  </pic:spPr>
                </pic:pic>
              </a:graphicData>
            </a:graphic>
          </wp:inline>
        </w:drawing>
      </w:r>
    </w:p>
    <w:p>
      <w:pPr>
        <w:jc w:val="center"/>
      </w:pPr>
      <w:r>
        <w:rPr>
          <w:i/>
          <w:sz w:val="18"/>
        </w:rPr>
        <w:t>Figura 108. Diagrama de entidad relación.</w:t>
      </w:r>
    </w:p>
    <w:p>
      <w:pPr>
        <w:sectPr>
          <w:headerReference w:type="default" r:id="rId210"/>
          <w:footerReference w:type="default" r:id="rId211"/>
          <w:pgSz w:w="16838" w:h="11906" w:orient="landscape"/>
          <w:pgMar w:top="1361" w:right="1020" w:bottom="680" w:left="1020" w:header="720" w:footer="720" w:gutter="0"/>
          <w:cols w:space="720"/>
          <w:docGrid w:linePitch="360"/>
        </w:sectPr>
      </w:pPr>
    </w:p>
    <w:p>
      <w:pPr>
        <w:pStyle w:val="Heading1"/>
      </w:pPr>
      <w:r>
        <w:t>Referencias</w:t>
      </w:r>
    </w:p>
    <w:p>
      <w:pPr>
        <w:spacing w:after="160"/>
        <w:ind w:left="567" w:hanging="567"/>
      </w:pPr>
      <w:r>
        <w:rPr>
          <w:rFonts w:ascii="Liberation Serif" w:hAnsi="Liberation Serif"/>
          <w:sz w:val="21"/>
        </w:rPr>
        <w:t>Bruegge, B. y Dutoit, A. H. (2002). Ingeniería de software orientado a objetos. Pearson Educación.</w:t>
      </w:r>
    </w:p>
    <w:p>
      <w:pPr>
        <w:spacing w:after="160"/>
        <w:ind w:left="567" w:hanging="567"/>
      </w:pPr>
      <w:r>
        <w:rPr>
          <w:rFonts w:ascii="Liberation Serif" w:hAnsi="Liberation Serif"/>
          <w:sz w:val="21"/>
        </w:rPr>
        <w:t>Jacobson, I., Christerson, M., Jonsson, P. y Övergaard, G. (1992). Object-oriented software engineering: A use case driven approach. Addison-Wesley.</w:t>
      </w:r>
    </w:p>
    <w:p>
      <w:pPr>
        <w:spacing w:after="160"/>
        <w:ind w:left="567" w:hanging="567"/>
      </w:pPr>
      <w:r>
        <w:rPr>
          <w:rFonts w:ascii="Liberation Serif" w:hAnsi="Liberation Serif"/>
          <w:sz w:val="21"/>
        </w:rPr>
        <w:t>Martin, R. C. (2017). Clean architecture: A craftsman's guide to software structure and design. Prentice Hall.</w:t>
      </w:r>
    </w:p>
    <w:p>
      <w:pPr>
        <w:spacing w:after="160"/>
        <w:ind w:left="567" w:hanging="567"/>
      </w:pPr>
      <w:r>
        <w:rPr>
          <w:rFonts w:ascii="Liberation Serif" w:hAnsi="Liberation Serif"/>
          <w:sz w:val="21"/>
        </w:rPr>
        <w:t>Pressman, R. S. (2010). Ingeniería del software: un enfoque práctico (7.ª ed.). McGraw-Hill Interamericana.</w:t>
      </w:r>
    </w:p>
    <w:p>
      <w:pPr>
        <w:spacing w:after="160"/>
        <w:ind w:left="567" w:hanging="567"/>
      </w:pPr>
      <w:r>
        <w:rPr>
          <w:rFonts w:ascii="Liberation Serif" w:hAnsi="Liberation Serif"/>
          <w:sz w:val="21"/>
        </w:rPr>
        <w:t>Rumbaugh, J., Jacobson, I. y Booch, G. (2007). El lenguaje unificado de modelado: manual de referencia (2.ª ed.). Pearson Educación.</w:t>
      </w:r>
    </w:p>
    <w:p>
      <w:pPr>
        <w:spacing w:after="160"/>
        <w:ind w:left="567" w:hanging="567"/>
      </w:pPr>
      <w:r>
        <w:rPr>
          <w:rFonts w:ascii="Liberation Serif" w:hAnsi="Liberation Serif"/>
          <w:sz w:val="21"/>
        </w:rPr>
        <w:t>Sommerville, I. (2011). Ingeniería de software (9.ª ed.). Pearson Educación.</w:t>
      </w:r>
    </w:p>
    <w:p>
      <w:pPr>
        <w:spacing w:after="160"/>
        <w:ind w:left="567" w:hanging="567"/>
      </w:pPr>
      <w:r>
        <w:rPr>
          <w:rFonts w:ascii="Liberation Serif" w:hAnsi="Liberation Serif"/>
          <w:sz w:val="21"/>
        </w:rPr>
        <w:t>Brown, S. (2024). The C4 model for visualising software architecture. https://c4model.com</w:t>
      </w:r>
    </w:p>
    <w:p>
      <w:pPr>
        <w:spacing w:after="160"/>
        <w:ind w:left="567" w:hanging="567"/>
      </w:pPr>
      <w:r>
        <w:rPr>
          <w:rFonts w:ascii="Liberation Serif" w:hAnsi="Liberation Serif"/>
          <w:sz w:val="21"/>
        </w:rPr>
        <w:t>Cuatro Projects S.R.L. (2026). Captura de requerimientos — Rojas, Taveira y Scotover [Documento interno].</w:t>
      </w:r>
    </w:p>
    <w:p>
      <w:pPr>
        <w:spacing w:after="160"/>
        <w:ind w:left="567" w:hanging="567"/>
      </w:pPr>
      <w:r>
        <w:rPr>
          <w:rFonts w:ascii="Liberation Serif" w:hAnsi="Liberation Serif"/>
          <w:sz w:val="21"/>
        </w:rPr>
        <w:t>Obra Studio. (2026). Wiki de dominio, arquitectura e integración [Documentación interna].</w:t>
      </w:r>
    </w:p>
    <w:sectPr w:rsidR="00FC693F" w:rsidRPr="0006063C" w:rsidSect="00034616">
      <w:headerReference w:type="default" r:id="rId213"/>
      <w:footerReference w:type="default" r:id="rId214"/>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Liberation Sans" w:hAnsi="Liberation Sans"/>
        <w:sz w:val="16"/>
      </w:rPr>
      <w:t>Universidad Católica Nuestra Señora de la Asunción</w:t>
    </w:r>
    <w:r>
      <w:rPr>
        <w:rFonts w:ascii="Liberation Sans" w:hAnsi="Liberation Sans"/>
        <w:sz w:val="16"/>
      </w:rPr>
      <w:br/>
      <w:t>Facultad de Ciencias y Tecnología</w:t>
    </w:r>
    <w:r>
      <w:rPr>
        <w:rFonts w:ascii="Liberation Sans" w:hAnsi="Liberation Sans"/>
        <w:sz w:val="16"/>
      </w:rPr>
      <w:br/>
      <w:t>Departamento de Análisis de Sistemas</w:t>
    </w:r>
    <w:r>
      <w:rPr>
        <w:rFonts w:ascii="Liberation Sans" w:hAnsi="Liberation Sans"/>
        <w:sz w:val="16"/>
      </w:rPr>
      <w:br/>
      <w:t>Cátedra de Ingeniería del Software 2</w:t>
    </w:r>
    <w:r>
      <w:rPr>
        <w:rFonts w:ascii="Liberation Sans" w:hAnsi="Liberation Sans"/>
        <w:sz w:val="16"/>
      </w:rPr>
      <w:br/>
      <w:t>Prof.: Dr. Emilio Gutiérrez Rodríguez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image" Target="media/image4.pn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header" Target="header7.xml"/><Relationship Id="rId31" Type="http://schemas.openxmlformats.org/officeDocument/2006/relationships/footer" Target="footer7.xm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header" Target="header8.xml"/><Relationship Id="rId36" Type="http://schemas.openxmlformats.org/officeDocument/2006/relationships/footer" Target="footer8.xm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header" Target="header10.xml"/><Relationship Id="rId47" Type="http://schemas.openxmlformats.org/officeDocument/2006/relationships/footer" Target="footer10.xml"/><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header" Target="header11.xml"/><Relationship Id="rId51" Type="http://schemas.openxmlformats.org/officeDocument/2006/relationships/footer" Target="footer11.xml"/><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header" Target="header12.xml"/><Relationship Id="rId58" Type="http://schemas.openxmlformats.org/officeDocument/2006/relationships/footer" Target="footer12.xml"/><Relationship Id="rId59" Type="http://schemas.openxmlformats.org/officeDocument/2006/relationships/image" Target="media/image27.png"/><Relationship Id="rId60" Type="http://schemas.openxmlformats.org/officeDocument/2006/relationships/image" Target="media/image28.png"/><Relationship Id="rId61" Type="http://schemas.openxmlformats.org/officeDocument/2006/relationships/header" Target="header13.xml"/><Relationship Id="rId62" Type="http://schemas.openxmlformats.org/officeDocument/2006/relationships/footer" Target="footer13.xml"/><Relationship Id="rId63" Type="http://schemas.openxmlformats.org/officeDocument/2006/relationships/image" Target="media/image29.png"/><Relationship Id="rId64" Type="http://schemas.openxmlformats.org/officeDocument/2006/relationships/image" Target="media/image30.png"/><Relationship Id="rId65" Type="http://schemas.openxmlformats.org/officeDocument/2006/relationships/image" Target="media/image31.png"/><Relationship Id="rId66" Type="http://schemas.openxmlformats.org/officeDocument/2006/relationships/header" Target="header14.xml"/><Relationship Id="rId67" Type="http://schemas.openxmlformats.org/officeDocument/2006/relationships/footer" Target="footer14.xml"/><Relationship Id="rId68" Type="http://schemas.openxmlformats.org/officeDocument/2006/relationships/image" Target="media/image32.png"/><Relationship Id="rId69" Type="http://schemas.openxmlformats.org/officeDocument/2006/relationships/image" Target="media/image33.png"/><Relationship Id="rId70" Type="http://schemas.openxmlformats.org/officeDocument/2006/relationships/image" Target="media/image34.png"/><Relationship Id="rId71" Type="http://schemas.openxmlformats.org/officeDocument/2006/relationships/header" Target="header15.xml"/><Relationship Id="rId72" Type="http://schemas.openxmlformats.org/officeDocument/2006/relationships/footer" Target="footer15.xml"/><Relationship Id="rId73" Type="http://schemas.openxmlformats.org/officeDocument/2006/relationships/image" Target="media/image35.png"/><Relationship Id="rId74" Type="http://schemas.openxmlformats.org/officeDocument/2006/relationships/header" Target="header16.xml"/><Relationship Id="rId75" Type="http://schemas.openxmlformats.org/officeDocument/2006/relationships/footer" Target="footer16.xml"/><Relationship Id="rId76" Type="http://schemas.openxmlformats.org/officeDocument/2006/relationships/image" Target="media/image36.png"/><Relationship Id="rId77" Type="http://schemas.openxmlformats.org/officeDocument/2006/relationships/header" Target="header17.xml"/><Relationship Id="rId78" Type="http://schemas.openxmlformats.org/officeDocument/2006/relationships/footer" Target="footer17.xml"/><Relationship Id="rId79" Type="http://schemas.openxmlformats.org/officeDocument/2006/relationships/image" Target="media/image37.png"/><Relationship Id="rId80" Type="http://schemas.openxmlformats.org/officeDocument/2006/relationships/image" Target="media/image38.png"/><Relationship Id="rId81" Type="http://schemas.openxmlformats.org/officeDocument/2006/relationships/image" Target="media/image39.png"/><Relationship Id="rId82" Type="http://schemas.openxmlformats.org/officeDocument/2006/relationships/image" Target="media/image40.png"/><Relationship Id="rId83" Type="http://schemas.openxmlformats.org/officeDocument/2006/relationships/header" Target="header18.xml"/><Relationship Id="rId84" Type="http://schemas.openxmlformats.org/officeDocument/2006/relationships/footer" Target="footer18.xml"/><Relationship Id="rId85" Type="http://schemas.openxmlformats.org/officeDocument/2006/relationships/image" Target="media/image41.png"/><Relationship Id="rId86" Type="http://schemas.openxmlformats.org/officeDocument/2006/relationships/header" Target="header19.xml"/><Relationship Id="rId87" Type="http://schemas.openxmlformats.org/officeDocument/2006/relationships/footer" Target="footer19.xml"/><Relationship Id="rId88" Type="http://schemas.openxmlformats.org/officeDocument/2006/relationships/image" Target="media/image42.png"/><Relationship Id="rId89" Type="http://schemas.openxmlformats.org/officeDocument/2006/relationships/image" Target="media/image43.png"/><Relationship Id="rId90" Type="http://schemas.openxmlformats.org/officeDocument/2006/relationships/image" Target="media/image44.png"/><Relationship Id="rId91" Type="http://schemas.openxmlformats.org/officeDocument/2006/relationships/image" Target="media/image45.png"/><Relationship Id="rId92" Type="http://schemas.openxmlformats.org/officeDocument/2006/relationships/header" Target="header20.xml"/><Relationship Id="rId93" Type="http://schemas.openxmlformats.org/officeDocument/2006/relationships/footer" Target="footer20.xml"/><Relationship Id="rId94" Type="http://schemas.openxmlformats.org/officeDocument/2006/relationships/image" Target="media/image46.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9.png"/><Relationship Id="rId98" Type="http://schemas.openxmlformats.org/officeDocument/2006/relationships/header" Target="header21.xml"/><Relationship Id="rId99" Type="http://schemas.openxmlformats.org/officeDocument/2006/relationships/footer" Target="footer21.xml"/><Relationship Id="rId100" Type="http://schemas.openxmlformats.org/officeDocument/2006/relationships/image" Target="media/image50.png"/><Relationship Id="rId101" Type="http://schemas.openxmlformats.org/officeDocument/2006/relationships/image" Target="media/image51.png"/><Relationship Id="rId102" Type="http://schemas.openxmlformats.org/officeDocument/2006/relationships/header" Target="header22.xml"/><Relationship Id="rId103" Type="http://schemas.openxmlformats.org/officeDocument/2006/relationships/footer" Target="footer22.xml"/><Relationship Id="rId104" Type="http://schemas.openxmlformats.org/officeDocument/2006/relationships/image" Target="media/image52.png"/><Relationship Id="rId105" Type="http://schemas.openxmlformats.org/officeDocument/2006/relationships/image" Target="media/image53.png"/><Relationship Id="rId106" Type="http://schemas.openxmlformats.org/officeDocument/2006/relationships/image" Target="media/image54.png"/><Relationship Id="rId107" Type="http://schemas.openxmlformats.org/officeDocument/2006/relationships/header" Target="header23.xml"/><Relationship Id="rId108" Type="http://schemas.openxmlformats.org/officeDocument/2006/relationships/footer" Target="footer23.xml"/><Relationship Id="rId109" Type="http://schemas.openxmlformats.org/officeDocument/2006/relationships/image" Target="media/image55.png"/><Relationship Id="rId110" Type="http://schemas.openxmlformats.org/officeDocument/2006/relationships/image" Target="media/image56.png"/><Relationship Id="rId111" Type="http://schemas.openxmlformats.org/officeDocument/2006/relationships/image" Target="media/image57.png"/><Relationship Id="rId112" Type="http://schemas.openxmlformats.org/officeDocument/2006/relationships/header" Target="header24.xml"/><Relationship Id="rId113" Type="http://schemas.openxmlformats.org/officeDocument/2006/relationships/footer" Target="footer24.xml"/><Relationship Id="rId114" Type="http://schemas.openxmlformats.org/officeDocument/2006/relationships/image" Target="media/image58.png"/><Relationship Id="rId115" Type="http://schemas.openxmlformats.org/officeDocument/2006/relationships/image" Target="media/image59.png"/><Relationship Id="rId116" Type="http://schemas.openxmlformats.org/officeDocument/2006/relationships/image" Target="media/image60.png"/><Relationship Id="rId117" Type="http://schemas.openxmlformats.org/officeDocument/2006/relationships/image" Target="media/image61.png"/><Relationship Id="rId118" Type="http://schemas.openxmlformats.org/officeDocument/2006/relationships/header" Target="header25.xml"/><Relationship Id="rId119" Type="http://schemas.openxmlformats.org/officeDocument/2006/relationships/footer" Target="footer25.xml"/><Relationship Id="rId120" Type="http://schemas.openxmlformats.org/officeDocument/2006/relationships/image" Target="media/image62.png"/><Relationship Id="rId121" Type="http://schemas.openxmlformats.org/officeDocument/2006/relationships/image" Target="media/image63.png"/><Relationship Id="rId122" Type="http://schemas.openxmlformats.org/officeDocument/2006/relationships/image" Target="media/image64.png"/><Relationship Id="rId123" Type="http://schemas.openxmlformats.org/officeDocument/2006/relationships/header" Target="header26.xml"/><Relationship Id="rId124" Type="http://schemas.openxmlformats.org/officeDocument/2006/relationships/footer" Target="footer26.xml"/><Relationship Id="rId125" Type="http://schemas.openxmlformats.org/officeDocument/2006/relationships/image" Target="media/image65.png"/><Relationship Id="rId126" Type="http://schemas.openxmlformats.org/officeDocument/2006/relationships/image" Target="media/image66.png"/><Relationship Id="rId127" Type="http://schemas.openxmlformats.org/officeDocument/2006/relationships/image" Target="media/image67.png"/><Relationship Id="rId128" Type="http://schemas.openxmlformats.org/officeDocument/2006/relationships/header" Target="header27.xml"/><Relationship Id="rId129" Type="http://schemas.openxmlformats.org/officeDocument/2006/relationships/footer" Target="footer27.xml"/><Relationship Id="rId130" Type="http://schemas.openxmlformats.org/officeDocument/2006/relationships/image" Target="media/image68.png"/><Relationship Id="rId131" Type="http://schemas.openxmlformats.org/officeDocument/2006/relationships/image" Target="media/image69.png"/><Relationship Id="rId132" Type="http://schemas.openxmlformats.org/officeDocument/2006/relationships/image" Target="media/image70.png"/><Relationship Id="rId133" Type="http://schemas.openxmlformats.org/officeDocument/2006/relationships/header" Target="header28.xml"/><Relationship Id="rId134" Type="http://schemas.openxmlformats.org/officeDocument/2006/relationships/footer" Target="footer28.xml"/><Relationship Id="rId135" Type="http://schemas.openxmlformats.org/officeDocument/2006/relationships/image" Target="media/image71.png"/><Relationship Id="rId136" Type="http://schemas.openxmlformats.org/officeDocument/2006/relationships/image" Target="media/image72.png"/><Relationship Id="rId137" Type="http://schemas.openxmlformats.org/officeDocument/2006/relationships/image" Target="media/image73.png"/><Relationship Id="rId138" Type="http://schemas.openxmlformats.org/officeDocument/2006/relationships/image" Target="media/image74.png"/><Relationship Id="rId139" Type="http://schemas.openxmlformats.org/officeDocument/2006/relationships/header" Target="header29.xml"/><Relationship Id="rId140" Type="http://schemas.openxmlformats.org/officeDocument/2006/relationships/footer" Target="footer29.xml"/><Relationship Id="rId141" Type="http://schemas.openxmlformats.org/officeDocument/2006/relationships/image" Target="media/image75.png"/><Relationship Id="rId142" Type="http://schemas.openxmlformats.org/officeDocument/2006/relationships/image" Target="media/image76.png"/><Relationship Id="rId143" Type="http://schemas.openxmlformats.org/officeDocument/2006/relationships/image" Target="media/image77.png"/><Relationship Id="rId144" Type="http://schemas.openxmlformats.org/officeDocument/2006/relationships/image" Target="media/image78.png"/><Relationship Id="rId145" Type="http://schemas.openxmlformats.org/officeDocument/2006/relationships/header" Target="header30.xml"/><Relationship Id="rId146" Type="http://schemas.openxmlformats.org/officeDocument/2006/relationships/footer" Target="footer30.xml"/><Relationship Id="rId147" Type="http://schemas.openxmlformats.org/officeDocument/2006/relationships/image" Target="media/image79.png"/><Relationship Id="rId148" Type="http://schemas.openxmlformats.org/officeDocument/2006/relationships/image" Target="media/image80.png"/><Relationship Id="rId149" Type="http://schemas.openxmlformats.org/officeDocument/2006/relationships/header" Target="header31.xml"/><Relationship Id="rId150" Type="http://schemas.openxmlformats.org/officeDocument/2006/relationships/footer" Target="footer31.xml"/><Relationship Id="rId151" Type="http://schemas.openxmlformats.org/officeDocument/2006/relationships/image" Target="media/image81.png"/><Relationship Id="rId152" Type="http://schemas.openxmlformats.org/officeDocument/2006/relationships/image" Target="media/image82.png"/><Relationship Id="rId153" Type="http://schemas.openxmlformats.org/officeDocument/2006/relationships/image" Target="media/image83.png"/><Relationship Id="rId154" Type="http://schemas.openxmlformats.org/officeDocument/2006/relationships/header" Target="header32.xml"/><Relationship Id="rId155" Type="http://schemas.openxmlformats.org/officeDocument/2006/relationships/footer" Target="footer32.xml"/><Relationship Id="rId156" Type="http://schemas.openxmlformats.org/officeDocument/2006/relationships/image" Target="media/image84.png"/><Relationship Id="rId157" Type="http://schemas.openxmlformats.org/officeDocument/2006/relationships/image" Target="media/image85.png"/><Relationship Id="rId158" Type="http://schemas.openxmlformats.org/officeDocument/2006/relationships/image" Target="media/image86.png"/><Relationship Id="rId159" Type="http://schemas.openxmlformats.org/officeDocument/2006/relationships/header" Target="header33.xml"/><Relationship Id="rId160" Type="http://schemas.openxmlformats.org/officeDocument/2006/relationships/footer" Target="footer33.xml"/><Relationship Id="rId161" Type="http://schemas.openxmlformats.org/officeDocument/2006/relationships/image" Target="media/image87.png"/><Relationship Id="rId162" Type="http://schemas.openxmlformats.org/officeDocument/2006/relationships/image" Target="media/image88.png"/><Relationship Id="rId163" Type="http://schemas.openxmlformats.org/officeDocument/2006/relationships/image" Target="media/image89.png"/><Relationship Id="rId164" Type="http://schemas.openxmlformats.org/officeDocument/2006/relationships/header" Target="header34.xml"/><Relationship Id="rId165" Type="http://schemas.openxmlformats.org/officeDocument/2006/relationships/footer" Target="footer34.xml"/><Relationship Id="rId166" Type="http://schemas.openxmlformats.org/officeDocument/2006/relationships/image" Target="media/image90.png"/><Relationship Id="rId167" Type="http://schemas.openxmlformats.org/officeDocument/2006/relationships/image" Target="media/image91.png"/><Relationship Id="rId168" Type="http://schemas.openxmlformats.org/officeDocument/2006/relationships/image" Target="media/image92.png"/><Relationship Id="rId169" Type="http://schemas.openxmlformats.org/officeDocument/2006/relationships/header" Target="header35.xml"/><Relationship Id="rId170" Type="http://schemas.openxmlformats.org/officeDocument/2006/relationships/footer" Target="footer35.xml"/><Relationship Id="rId171" Type="http://schemas.openxmlformats.org/officeDocument/2006/relationships/image" Target="media/image93.png"/><Relationship Id="rId172" Type="http://schemas.openxmlformats.org/officeDocument/2006/relationships/image" Target="media/image94.png"/><Relationship Id="rId173" Type="http://schemas.openxmlformats.org/officeDocument/2006/relationships/image" Target="media/image95.png"/><Relationship Id="rId174" Type="http://schemas.openxmlformats.org/officeDocument/2006/relationships/image" Target="media/image96.png"/><Relationship Id="rId175" Type="http://schemas.openxmlformats.org/officeDocument/2006/relationships/header" Target="header36.xml"/><Relationship Id="rId176" Type="http://schemas.openxmlformats.org/officeDocument/2006/relationships/footer" Target="footer36.xml"/><Relationship Id="rId177" Type="http://schemas.openxmlformats.org/officeDocument/2006/relationships/image" Target="media/image97.png"/><Relationship Id="rId178" Type="http://schemas.openxmlformats.org/officeDocument/2006/relationships/header" Target="header37.xml"/><Relationship Id="rId179" Type="http://schemas.openxmlformats.org/officeDocument/2006/relationships/footer" Target="footer37.xml"/><Relationship Id="rId180" Type="http://schemas.openxmlformats.org/officeDocument/2006/relationships/image" Target="media/image98.png"/><Relationship Id="rId181" Type="http://schemas.openxmlformats.org/officeDocument/2006/relationships/header" Target="header38.xml"/><Relationship Id="rId182" Type="http://schemas.openxmlformats.org/officeDocument/2006/relationships/footer" Target="footer38.xml"/><Relationship Id="rId183" Type="http://schemas.openxmlformats.org/officeDocument/2006/relationships/image" Target="media/image99.png"/><Relationship Id="rId184" Type="http://schemas.openxmlformats.org/officeDocument/2006/relationships/header" Target="header39.xml"/><Relationship Id="rId185" Type="http://schemas.openxmlformats.org/officeDocument/2006/relationships/footer" Target="footer39.xml"/><Relationship Id="rId186" Type="http://schemas.openxmlformats.org/officeDocument/2006/relationships/image" Target="media/image100.png"/><Relationship Id="rId187" Type="http://schemas.openxmlformats.org/officeDocument/2006/relationships/image" Target="media/image101.png"/><Relationship Id="rId188" Type="http://schemas.openxmlformats.org/officeDocument/2006/relationships/header" Target="header40.xml"/><Relationship Id="rId189" Type="http://schemas.openxmlformats.org/officeDocument/2006/relationships/footer" Target="footer40.xml"/><Relationship Id="rId190" Type="http://schemas.openxmlformats.org/officeDocument/2006/relationships/image" Target="media/image102.png"/><Relationship Id="rId191" Type="http://schemas.openxmlformats.org/officeDocument/2006/relationships/header" Target="header41.xml"/><Relationship Id="rId192" Type="http://schemas.openxmlformats.org/officeDocument/2006/relationships/footer" Target="footer41.xml"/><Relationship Id="rId193" Type="http://schemas.openxmlformats.org/officeDocument/2006/relationships/image" Target="media/image103.png"/><Relationship Id="rId194" Type="http://schemas.openxmlformats.org/officeDocument/2006/relationships/header" Target="header42.xml"/><Relationship Id="rId195" Type="http://schemas.openxmlformats.org/officeDocument/2006/relationships/footer" Target="footer42.xml"/><Relationship Id="rId196" Type="http://schemas.openxmlformats.org/officeDocument/2006/relationships/image" Target="media/image104.png"/><Relationship Id="rId197" Type="http://schemas.openxmlformats.org/officeDocument/2006/relationships/header" Target="header43.xml"/><Relationship Id="rId198" Type="http://schemas.openxmlformats.org/officeDocument/2006/relationships/footer" Target="footer43.xml"/><Relationship Id="rId199" Type="http://schemas.openxmlformats.org/officeDocument/2006/relationships/image" Target="media/image105.png"/><Relationship Id="rId200" Type="http://schemas.openxmlformats.org/officeDocument/2006/relationships/header" Target="header44.xml"/><Relationship Id="rId201" Type="http://schemas.openxmlformats.org/officeDocument/2006/relationships/footer" Target="footer44.xml"/><Relationship Id="rId202" Type="http://schemas.openxmlformats.org/officeDocument/2006/relationships/header" Target="header45.xml"/><Relationship Id="rId203" Type="http://schemas.openxmlformats.org/officeDocument/2006/relationships/footer" Target="footer45.xml"/><Relationship Id="rId204" Type="http://schemas.openxmlformats.org/officeDocument/2006/relationships/header" Target="header46.xml"/><Relationship Id="rId205" Type="http://schemas.openxmlformats.org/officeDocument/2006/relationships/footer" Target="footer46.xml"/><Relationship Id="rId206" Type="http://schemas.openxmlformats.org/officeDocument/2006/relationships/image" Target="media/image106.png"/><Relationship Id="rId207" Type="http://schemas.openxmlformats.org/officeDocument/2006/relationships/image" Target="media/image107.png"/><Relationship Id="rId208" Type="http://schemas.openxmlformats.org/officeDocument/2006/relationships/header" Target="header47.xml"/><Relationship Id="rId209" Type="http://schemas.openxmlformats.org/officeDocument/2006/relationships/footer" Target="footer47.xml"/><Relationship Id="rId210" Type="http://schemas.openxmlformats.org/officeDocument/2006/relationships/header" Target="header48.xml"/><Relationship Id="rId211" Type="http://schemas.openxmlformats.org/officeDocument/2006/relationships/footer" Target="footer48.xml"/><Relationship Id="rId212" Type="http://schemas.openxmlformats.org/officeDocument/2006/relationships/image" Target="media/image108.png"/><Relationship Id="rId213" Type="http://schemas.openxmlformats.org/officeDocument/2006/relationships/header" Target="header49.xml"/><Relationship Id="rId214" Type="http://schemas.openxmlformats.org/officeDocument/2006/relationships/footer" Target="footer4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