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A890" w14:textId="68DF6D8F" w:rsidR="00987110" w:rsidRDefault="00987110" w:rsidP="00987110">
      <w:pPr>
        <w:pStyle w:val="NormalWeb"/>
        <w:spacing w:line="360" w:lineRule="auto"/>
        <w:rPr>
          <w:rStyle w:val="Strong"/>
          <w:rFonts w:eastAsiaTheme="majorEastAsia"/>
          <w:color w:val="000000"/>
          <w:sz w:val="28"/>
          <w:szCs w:val="28"/>
          <w:lang w:val="ru-RU"/>
        </w:rPr>
      </w:pPr>
      <w:r>
        <w:rPr>
          <w:rStyle w:val="Strong"/>
          <w:rFonts w:eastAsiaTheme="majorEastAsia"/>
          <w:color w:val="000000"/>
          <w:sz w:val="28"/>
          <w:szCs w:val="28"/>
          <w:lang w:val="ru-RU"/>
        </w:rPr>
        <w:t>Конспект встречи от 20.03.2026</w:t>
      </w:r>
    </w:p>
    <w:p w14:paraId="06F1B9B0" w14:textId="6347129B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1. Общее содержание главы</w:t>
      </w:r>
      <w:r w:rsidRPr="00987110">
        <w:rPr>
          <w:color w:val="000000"/>
          <w:sz w:val="28"/>
          <w:szCs w:val="28"/>
        </w:rPr>
        <w:br/>
        <w:t>Глава 5 в целом соответствует задаче архитектурного описания программного продукта и логично связывает статическую и динамическую стороны системы.</w:t>
      </w:r>
      <w:r w:rsidRPr="00987110">
        <w:rPr>
          <w:color w:val="000000"/>
          <w:sz w:val="28"/>
          <w:szCs w:val="28"/>
        </w:rPr>
        <w:br/>
        <w:t>Отмечено, что глава хорошо продолжает предыдущие разделы: после формализации требований и функционала появляется описание того, как данные хранятся и как они проходят через основные процессы системы.</w:t>
      </w:r>
      <w:r w:rsidRPr="00987110">
        <w:rPr>
          <w:color w:val="000000"/>
          <w:sz w:val="28"/>
          <w:szCs w:val="28"/>
        </w:rPr>
        <w:br/>
        <w:t>Рекомендовано сохранить общую структуру главы, так как разделение на физическую модель данных и диаграмму потоков данных является методически правильным и понятным.</w:t>
      </w:r>
    </w:p>
    <w:p w14:paraId="026D45B8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2. Вводная часть главы</w:t>
      </w:r>
      <w:r w:rsidRPr="00987110">
        <w:rPr>
          <w:color w:val="000000"/>
          <w:sz w:val="28"/>
          <w:szCs w:val="28"/>
        </w:rPr>
        <w:br/>
        <w:t>Вводный абзац признан содержательно удачным, поскольку он объясняет, почему в данной главе рассматриваются сразу два представления архитектуры: модель хранения и модель движения данных.</w:t>
      </w:r>
      <w:r w:rsidRPr="00987110">
        <w:rPr>
          <w:color w:val="000000"/>
          <w:sz w:val="28"/>
          <w:szCs w:val="28"/>
        </w:rPr>
        <w:br/>
        <w:t>Отмечено, что текст хорошо связывает архитектуру с логикой системы: загрузка документов, обработка, тематическая разметка, формирование профиля преподавателей и последующий подбор руководителя.</w:t>
      </w:r>
      <w:r w:rsidRPr="00987110">
        <w:rPr>
          <w:color w:val="000000"/>
          <w:sz w:val="28"/>
          <w:szCs w:val="28"/>
        </w:rPr>
        <w:br/>
        <w:t>Рекомендовано немного сократить вводную часть и убрать отдельные повторы, чтобы усилить академическую плотность текста.</w:t>
      </w:r>
    </w:p>
    <w:p w14:paraId="351860D6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3. Логика выбора двух моделей представления</w:t>
      </w:r>
      <w:r w:rsidRPr="00987110">
        <w:rPr>
          <w:color w:val="000000"/>
          <w:sz w:val="28"/>
          <w:szCs w:val="28"/>
        </w:rPr>
        <w:br/>
        <w:t>Положительно отмечено, что в главе явно разведены физическая модель данных и диаграмма потоков данных.</w:t>
      </w:r>
      <w:r w:rsidRPr="00987110">
        <w:rPr>
          <w:color w:val="000000"/>
          <w:sz w:val="28"/>
          <w:szCs w:val="28"/>
        </w:rPr>
        <w:br/>
        <w:t>Это позволяет показать систему сразу с двух сторон: как совокупность сущностей и хранилищ, и как совокупность процессов и преобразований.</w:t>
      </w:r>
      <w:r w:rsidRPr="00987110">
        <w:rPr>
          <w:color w:val="000000"/>
          <w:sz w:val="28"/>
          <w:szCs w:val="28"/>
        </w:rPr>
        <w:br/>
        <w:t xml:space="preserve">Рекомендовано сохранить это противопоставление и в дальнейшем </w:t>
      </w:r>
      <w:r w:rsidRPr="00987110">
        <w:rPr>
          <w:color w:val="000000"/>
          <w:sz w:val="28"/>
          <w:szCs w:val="28"/>
        </w:rPr>
        <w:lastRenderedPageBreak/>
        <w:t>последовательно использовать формулировки «статическая сторона архитектуры» и «динамическая сторона архитектуры».</w:t>
      </w:r>
    </w:p>
    <w:p w14:paraId="0347C60B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4. Физическая модель данных: общее представление</w:t>
      </w:r>
      <w:r w:rsidRPr="00987110">
        <w:rPr>
          <w:color w:val="000000"/>
          <w:sz w:val="28"/>
          <w:szCs w:val="28"/>
        </w:rPr>
        <w:br/>
        <w:t>Раздел 5.1 признан одним из центральных в главе.</w:t>
      </w:r>
      <w:r w:rsidRPr="00987110">
        <w:rPr>
          <w:color w:val="000000"/>
          <w:sz w:val="28"/>
          <w:szCs w:val="28"/>
        </w:rPr>
        <w:br/>
        <w:t>Отмечено, что обоснование выбора PostgreSQL и файлового хранилища выглядит логично и соответствует характеру разрабатываемой системы.</w:t>
      </w:r>
      <w:r w:rsidRPr="00987110">
        <w:rPr>
          <w:color w:val="000000"/>
          <w:sz w:val="28"/>
          <w:szCs w:val="28"/>
        </w:rPr>
        <w:br/>
        <w:t>Рекомендовано при финальной редактуре сделать акцент не только на выборе технологий, но и на том, какие свойства архитектуры обеспечиваются этим выбором: целостность, согласованность, воспроизводимость и разделение структурированных и файловых данных.</w:t>
      </w:r>
    </w:p>
    <w:p w14:paraId="7385455F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5. Контур пользователей и преподавателей</w:t>
      </w:r>
      <w:r w:rsidRPr="00987110">
        <w:rPr>
          <w:color w:val="000000"/>
          <w:sz w:val="28"/>
          <w:szCs w:val="28"/>
        </w:rPr>
        <w:br/>
        <w:t>Описание пользовательского контура признано корректным и важным для понимания архитектуры.</w:t>
      </w:r>
      <w:r w:rsidRPr="00987110">
        <w:rPr>
          <w:color w:val="000000"/>
          <w:sz w:val="28"/>
          <w:szCs w:val="28"/>
        </w:rPr>
        <w:br/>
        <w:t>Отмечено, что разделение сущностей пользователей и преподавателей методически оправдано, так как одна часть системы относится к аутентификации и доступу, а другая — к предметной области.</w:t>
      </w:r>
      <w:r w:rsidRPr="00987110">
        <w:rPr>
          <w:color w:val="000000"/>
          <w:sz w:val="28"/>
          <w:szCs w:val="28"/>
        </w:rPr>
        <w:br/>
        <w:t>Рекомендовано сохранить это разграничение и при необходимости немного усилить пояснение, что преподаватель в модели не является пользователем системы по умолчанию.</w:t>
      </w:r>
    </w:p>
    <w:p w14:paraId="5AC34240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6. Таблицы, связанные с безопасностью и сессиями</w:t>
      </w:r>
      <w:r w:rsidRPr="00987110">
        <w:rPr>
          <w:color w:val="000000"/>
          <w:sz w:val="28"/>
          <w:szCs w:val="28"/>
        </w:rPr>
        <w:br/>
        <w:t>Положительно отмечено включение таблиц токенов обновления и токенов сброса пароля.</w:t>
      </w:r>
      <w:r w:rsidRPr="00987110">
        <w:rPr>
          <w:color w:val="000000"/>
          <w:sz w:val="28"/>
          <w:szCs w:val="28"/>
        </w:rPr>
        <w:br/>
        <w:t>Это показывает, что система рассматривается не только как исследовательский прототип анализа документов, но и как полноценное веб-приложение с механизмами управления доступом.</w:t>
      </w:r>
      <w:r w:rsidRPr="00987110">
        <w:rPr>
          <w:color w:val="000000"/>
          <w:sz w:val="28"/>
          <w:szCs w:val="28"/>
        </w:rPr>
        <w:br/>
        <w:t xml:space="preserve">Рекомендовано в тексте удерживать баланс между архитектурной </w:t>
      </w:r>
      <w:r w:rsidRPr="00987110">
        <w:rPr>
          <w:color w:val="000000"/>
          <w:sz w:val="28"/>
          <w:szCs w:val="28"/>
        </w:rPr>
        <w:lastRenderedPageBreak/>
        <w:t>значимостью этих сущностей и их вспомогательной ролью по отношению к основному контуру ВКР.</w:t>
      </w:r>
    </w:p>
    <w:p w14:paraId="0FD181DF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7. Контур хранения документов и карточек работ</w:t>
      </w:r>
      <w:r w:rsidRPr="00987110">
        <w:rPr>
          <w:color w:val="000000"/>
          <w:sz w:val="28"/>
          <w:szCs w:val="28"/>
        </w:rPr>
        <w:br/>
        <w:t>Описание таблиц файлов и работ признано логически выстроенным.</w:t>
      </w:r>
      <w:r w:rsidRPr="00987110">
        <w:rPr>
          <w:color w:val="000000"/>
          <w:sz w:val="28"/>
          <w:szCs w:val="28"/>
        </w:rPr>
        <w:br/>
        <w:t>Отмечено, что удачно показан переход от технической сущности файла к предметной сущности учебной работы как элемента цифрового следа преподавателя.</w:t>
      </w:r>
      <w:r w:rsidRPr="00987110">
        <w:rPr>
          <w:color w:val="000000"/>
          <w:sz w:val="28"/>
          <w:szCs w:val="28"/>
        </w:rPr>
        <w:br/>
        <w:t>Рекомендовано сохранить акцент на том, что файл хранится вне базы данных, а в реляционной схеме фиксируются только метаданные, ссылки и результаты обработки.</w:t>
      </w:r>
    </w:p>
    <w:p w14:paraId="736FFBB6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8. Нормализованный текст как отдельная сущность</w:t>
      </w:r>
      <w:r w:rsidRPr="00987110">
        <w:rPr>
          <w:color w:val="000000"/>
          <w:sz w:val="28"/>
          <w:szCs w:val="28"/>
        </w:rPr>
        <w:br/>
        <w:t>Выделение нормализованного текста в отдельную таблицу признано архитектурно оправданным.</w:t>
      </w:r>
      <w:r w:rsidRPr="00987110">
        <w:rPr>
          <w:color w:val="000000"/>
          <w:sz w:val="28"/>
          <w:szCs w:val="28"/>
        </w:rPr>
        <w:br/>
        <w:t>Отмечено, что такое решение делает промежуточные результаты обработки явными и наблюдаемыми.</w:t>
      </w:r>
      <w:r w:rsidRPr="00987110">
        <w:rPr>
          <w:color w:val="000000"/>
          <w:sz w:val="28"/>
          <w:szCs w:val="28"/>
        </w:rPr>
        <w:br/>
        <w:t>Рекомендовано сохранить это пояснение, так как оно хорошо демонстрирует, что конвейер обработки в системе формализован и разбит на отдельные этапы.</w:t>
      </w:r>
    </w:p>
    <w:p w14:paraId="2A185BB2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9. Очередь задач обработки</w:t>
      </w:r>
      <w:r w:rsidRPr="00987110">
        <w:rPr>
          <w:color w:val="000000"/>
          <w:sz w:val="28"/>
          <w:szCs w:val="28"/>
        </w:rPr>
        <w:br/>
        <w:t>Раздел про таблицу задач оценён как один из наиболее важных для понимания внутренней логики системы.</w:t>
      </w:r>
      <w:r w:rsidRPr="00987110">
        <w:rPr>
          <w:color w:val="000000"/>
          <w:sz w:val="28"/>
          <w:szCs w:val="28"/>
        </w:rPr>
        <w:br/>
        <w:t>Отмечено, что через эту сущность в главе отражается не только хранение данных, но и механизм управления поэтапной обработкой документов.</w:t>
      </w:r>
      <w:r w:rsidRPr="00987110">
        <w:rPr>
          <w:color w:val="000000"/>
          <w:sz w:val="28"/>
          <w:szCs w:val="28"/>
        </w:rPr>
        <w:br/>
        <w:t>Рекомендовано при финальной вычитке особенно чётко показать, что очередь задач является связующим механизмом между этапами чтения, предобработки, тематической разметки и последующих операций.</w:t>
      </w:r>
    </w:p>
    <w:p w14:paraId="038288C5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lastRenderedPageBreak/>
        <w:t>Тема 10. Тематический слой модели данных</w:t>
      </w:r>
      <w:r w:rsidRPr="00987110">
        <w:rPr>
          <w:color w:val="000000"/>
          <w:sz w:val="28"/>
          <w:szCs w:val="28"/>
        </w:rPr>
        <w:br/>
        <w:t>Описание тегов, вариантов написания тегов и связей документа с тегами признано сильной частью главы.</w:t>
      </w:r>
      <w:r w:rsidRPr="00987110">
        <w:rPr>
          <w:color w:val="000000"/>
          <w:sz w:val="28"/>
          <w:szCs w:val="28"/>
        </w:rPr>
        <w:br/>
        <w:t>Отмечено, что такая структура позволяет разделить фактические текстовые варианты и их каноническое представление, что важно для устойчивости последующего сопоставления.</w:t>
      </w:r>
      <w:r w:rsidRPr="00987110">
        <w:rPr>
          <w:color w:val="000000"/>
          <w:sz w:val="28"/>
          <w:szCs w:val="28"/>
        </w:rPr>
        <w:br/>
        <w:t>Рекомендовано сохранить эту логику и при необходимости сделать формулировки ещё более строгими, чтобы различие между тегом, вариантом написания и связью документа с тегом читалось однозначно.</w:t>
      </w:r>
    </w:p>
    <w:p w14:paraId="41C59D85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11. Предметные области и связи с тегами</w:t>
      </w:r>
      <w:r w:rsidRPr="00987110">
        <w:rPr>
          <w:color w:val="000000"/>
          <w:sz w:val="28"/>
          <w:szCs w:val="28"/>
        </w:rPr>
        <w:br/>
        <w:t>Раздел о предметных областях признан методически значимым, так как он показывает переход от локальных текстовых признаков к более устойчивому тематическому уровню.</w:t>
      </w:r>
      <w:r w:rsidRPr="00987110">
        <w:rPr>
          <w:color w:val="000000"/>
          <w:sz w:val="28"/>
          <w:szCs w:val="28"/>
        </w:rPr>
        <w:br/>
        <w:t>Положительно отмечено, что связь «тег – область знаний» вынесена в отдельную сущность и может содержать числовую оценку уверенности.</w:t>
      </w:r>
      <w:r w:rsidRPr="00987110">
        <w:rPr>
          <w:color w:val="000000"/>
          <w:sz w:val="28"/>
          <w:szCs w:val="28"/>
        </w:rPr>
        <w:br/>
        <w:t>Рекомендовано сохранить это как одно из ключевых архитектурных решений, поддерживающих дальнейшее ранжирование преподавателей.</w:t>
      </w:r>
    </w:p>
    <w:p w14:paraId="5538DABF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12. Производные и агрегированные представления</w:t>
      </w:r>
      <w:r w:rsidRPr="00987110">
        <w:rPr>
          <w:color w:val="000000"/>
          <w:sz w:val="28"/>
          <w:szCs w:val="28"/>
        </w:rPr>
        <w:br/>
        <w:t>Отдельно обсуждался блок про агрегированные предметные области документа и векторные представления предметных областей.</w:t>
      </w:r>
      <w:r w:rsidRPr="00987110">
        <w:rPr>
          <w:color w:val="000000"/>
          <w:sz w:val="28"/>
          <w:szCs w:val="28"/>
        </w:rPr>
        <w:br/>
        <w:t>Отмечено, что наличие таких сущностей показывает, что система хранит не только исходные данные, но и результаты промежуточной и производной аналитики.</w:t>
      </w:r>
      <w:r w:rsidRPr="00987110">
        <w:rPr>
          <w:color w:val="000000"/>
          <w:sz w:val="28"/>
          <w:szCs w:val="28"/>
        </w:rPr>
        <w:br/>
        <w:t>Рекомендовано при редактуре проследить, чтобы описание этих таблиц не выглядело избыточно техническим и оставалось встроенным в научную логику работы.</w:t>
      </w:r>
    </w:p>
    <w:p w14:paraId="012CACA7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lastRenderedPageBreak/>
        <w:t>Тема 13. Итог по физической модели данных</w:t>
      </w:r>
      <w:r w:rsidRPr="00987110">
        <w:rPr>
          <w:color w:val="000000"/>
          <w:sz w:val="28"/>
          <w:szCs w:val="28"/>
        </w:rPr>
        <w:br/>
        <w:t>В целом физическая модель данных признана согласованной и соответствующей цели ВКР.</w:t>
      </w:r>
      <w:r w:rsidRPr="00987110">
        <w:rPr>
          <w:color w:val="000000"/>
          <w:sz w:val="28"/>
          <w:szCs w:val="28"/>
        </w:rPr>
        <w:br/>
        <w:t>Отмечено, что она охватывает контур доступа, хранение файлов и документов, очередь обработки, тематический слой и производные структуры.</w:t>
      </w:r>
      <w:r w:rsidRPr="00987110">
        <w:rPr>
          <w:color w:val="000000"/>
          <w:sz w:val="28"/>
          <w:szCs w:val="28"/>
        </w:rPr>
        <w:br/>
        <w:t>Рекомендовано сохранить итоговый абзац раздела, но сделать его чуть компактнее, убрав повторы уже перечисленных блоков.</w:t>
      </w:r>
    </w:p>
    <w:p w14:paraId="29E83F49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14. Диаграмма потоков данных: общее назначение</w:t>
      </w:r>
      <w:r w:rsidRPr="00987110">
        <w:rPr>
          <w:color w:val="000000"/>
          <w:sz w:val="28"/>
          <w:szCs w:val="28"/>
        </w:rPr>
        <w:br/>
        <w:t>Раздел 5.2 признан важным дополнением к физической модели.</w:t>
      </w:r>
      <w:r w:rsidRPr="00987110">
        <w:rPr>
          <w:color w:val="000000"/>
          <w:sz w:val="28"/>
          <w:szCs w:val="28"/>
        </w:rPr>
        <w:br/>
        <w:t>Отмечено, что DFD корректно используется для раскрытия процессуальной стороны архитектуры и хорошо противопоставляется модели хранения.</w:t>
      </w:r>
      <w:r w:rsidRPr="00987110">
        <w:rPr>
          <w:color w:val="000000"/>
          <w:sz w:val="28"/>
          <w:szCs w:val="28"/>
        </w:rPr>
        <w:br/>
        <w:t>Рекомендовано сохранить пояснение о том, что DFD показывает внешние сущности, процессы, потоки данных и накопители, а не внутреннюю структуру таблиц.</w:t>
      </w:r>
    </w:p>
    <w:p w14:paraId="4DD0AB56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15. Контекстный уровень DFD</w:t>
      </w:r>
      <w:r w:rsidRPr="00987110">
        <w:rPr>
          <w:color w:val="000000"/>
          <w:sz w:val="28"/>
          <w:szCs w:val="28"/>
        </w:rPr>
        <w:br/>
        <w:t>Описание контекстного уровня признано логичным и понятным.</w:t>
      </w:r>
      <w:r w:rsidRPr="00987110">
        <w:rPr>
          <w:color w:val="000000"/>
          <w:sz w:val="28"/>
          <w:szCs w:val="28"/>
        </w:rPr>
        <w:br/>
        <w:t>Положительно отмечено выделение внешних сущностей: студента, администратора и опционального внешнего языкового модуля.</w:t>
      </w:r>
      <w:r w:rsidRPr="00987110">
        <w:rPr>
          <w:color w:val="000000"/>
          <w:sz w:val="28"/>
          <w:szCs w:val="28"/>
        </w:rPr>
        <w:br/>
        <w:t>Рекомендовано при финальной редактуре особенно аккуратно формулировать роль внешнего языкового модуля, чтобы было ясно, что его использование является опциональным и не определяет базовую архитектуру системы.</w:t>
      </w:r>
    </w:p>
    <w:p w14:paraId="5949E316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16. Декомпозиция процессов уровня 1</w:t>
      </w:r>
      <w:r w:rsidRPr="00987110">
        <w:rPr>
          <w:color w:val="000000"/>
          <w:sz w:val="28"/>
          <w:szCs w:val="28"/>
        </w:rPr>
        <w:br/>
        <w:t>Разбиение внутренней логики системы на процессы признано корректным и соответствующим основным сценариям работы.</w:t>
      </w:r>
      <w:r w:rsidRPr="00987110">
        <w:rPr>
          <w:color w:val="000000"/>
          <w:sz w:val="28"/>
          <w:szCs w:val="28"/>
        </w:rPr>
        <w:br/>
      </w:r>
      <w:r w:rsidRPr="00987110">
        <w:rPr>
          <w:color w:val="000000"/>
          <w:sz w:val="28"/>
          <w:szCs w:val="28"/>
        </w:rPr>
        <w:lastRenderedPageBreak/>
        <w:t>Отмечено, что хорошо выделены процессы аутентификации, загрузки, извлечения текста, предобработки, извлечения тегов, тематического сопоставления, подбора преподавателей и администрирования.</w:t>
      </w:r>
      <w:r w:rsidRPr="00987110">
        <w:rPr>
          <w:color w:val="000000"/>
          <w:sz w:val="28"/>
          <w:szCs w:val="28"/>
        </w:rPr>
        <w:br/>
        <w:t>Рекомендовано сохранить именно такую последовательность, поскольку она согласуется с ранее описанным конвейером обработки документа.</w:t>
      </w:r>
    </w:p>
    <w:p w14:paraId="0299A740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17. Административный сценарий в DFD</w:t>
      </w:r>
      <w:r w:rsidRPr="00987110">
        <w:rPr>
          <w:color w:val="000000"/>
          <w:sz w:val="28"/>
          <w:szCs w:val="28"/>
        </w:rPr>
        <w:br/>
        <w:t>Описание административного сценария оценено положительно.</w:t>
      </w:r>
      <w:r w:rsidRPr="00987110">
        <w:rPr>
          <w:color w:val="000000"/>
          <w:sz w:val="28"/>
          <w:szCs w:val="28"/>
        </w:rPr>
        <w:br/>
        <w:t>Отмечено, что в тексте последовательно показан путь документа от загрузки до ручной проверки и перевода в состояние готовности.</w:t>
      </w:r>
      <w:r w:rsidRPr="00987110">
        <w:rPr>
          <w:color w:val="000000"/>
          <w:sz w:val="28"/>
          <w:szCs w:val="28"/>
        </w:rPr>
        <w:br/>
        <w:t>Рекомендовано сохранить акцент на том, что автоматическая обработка и экспертная валидация администратора в системе дополняют друг друга, а не противопоставляются.</w:t>
      </w:r>
    </w:p>
    <w:p w14:paraId="5BB1F713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18. Роль очереди задач в потоках данных</w:t>
      </w:r>
      <w:r w:rsidRPr="00987110">
        <w:rPr>
          <w:color w:val="000000"/>
          <w:sz w:val="28"/>
          <w:szCs w:val="28"/>
        </w:rPr>
        <w:br/>
        <w:t>Отдельно обсуждалось, что очередь задач играет ключевую роль не только в физической модели, но и в DFD.</w:t>
      </w:r>
      <w:r w:rsidRPr="00987110">
        <w:rPr>
          <w:color w:val="000000"/>
          <w:sz w:val="28"/>
          <w:szCs w:val="28"/>
        </w:rPr>
        <w:br/>
        <w:t>Отмечено, что через неё связываются все основные этапы обработки документа и обеспечивается согласованная передача данных между процессами.</w:t>
      </w:r>
      <w:r w:rsidRPr="00987110">
        <w:rPr>
          <w:color w:val="000000"/>
          <w:sz w:val="28"/>
          <w:szCs w:val="28"/>
        </w:rPr>
        <w:br/>
        <w:t>Рекомендовано при необходимости усилить это место, так как именно здесь особенно хорошо видна архитектурная целостность системы.</w:t>
      </w:r>
    </w:p>
    <w:p w14:paraId="55606FEA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19. Студенческий сценарий в DFD</w:t>
      </w:r>
      <w:r w:rsidRPr="00987110">
        <w:rPr>
          <w:color w:val="000000"/>
          <w:sz w:val="28"/>
          <w:szCs w:val="28"/>
        </w:rPr>
        <w:br/>
        <w:t>Студенческий сценарий признан важным для демонстрации конечной ценности системы.</w:t>
      </w:r>
      <w:r w:rsidRPr="00987110">
        <w:rPr>
          <w:color w:val="000000"/>
          <w:sz w:val="28"/>
          <w:szCs w:val="28"/>
        </w:rPr>
        <w:br/>
        <w:t>Отмечено, что корректно показан переход от профиля интересов студента к ранжированному списку преподавателей с объяснением причин совпадения.</w:t>
      </w:r>
      <w:r w:rsidRPr="00987110">
        <w:rPr>
          <w:color w:val="000000"/>
          <w:sz w:val="28"/>
          <w:szCs w:val="28"/>
        </w:rPr>
        <w:br/>
        <w:t xml:space="preserve">Рекомендовано сохранить формулировки, связывающие пользовательский </w:t>
      </w:r>
      <w:r w:rsidRPr="00987110">
        <w:rPr>
          <w:color w:val="000000"/>
          <w:sz w:val="28"/>
          <w:szCs w:val="28"/>
        </w:rPr>
        <w:lastRenderedPageBreak/>
        <w:t>запрос, накопленные тематические данные и интерпретируемый результат рекомендации.</w:t>
      </w:r>
    </w:p>
    <w:p w14:paraId="6FB256F2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20. Накопители данных в DFD</w:t>
      </w:r>
      <w:r w:rsidRPr="00987110">
        <w:rPr>
          <w:color w:val="000000"/>
          <w:sz w:val="28"/>
          <w:szCs w:val="28"/>
        </w:rPr>
        <w:br/>
        <w:t>Описание накопителей данных признано методически корректным.</w:t>
      </w:r>
      <w:r w:rsidRPr="00987110">
        <w:rPr>
          <w:color w:val="000000"/>
          <w:sz w:val="28"/>
          <w:szCs w:val="28"/>
        </w:rPr>
        <w:br/>
        <w:t>Отмечено, что на уровне DFD правильно использовать укрупнённые накопители, а не полное повторение таблиц физической модели.</w:t>
      </w:r>
      <w:r w:rsidRPr="00987110">
        <w:rPr>
          <w:color w:val="000000"/>
          <w:sz w:val="28"/>
          <w:szCs w:val="28"/>
        </w:rPr>
        <w:br/>
        <w:t>Рекомендовано сохранить это разграничение, чтобы не смешивать уровень физической схемы БД и уровень потоков данных.</w:t>
      </w:r>
    </w:p>
    <w:p w14:paraId="27BE742E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21. Связь физической модели и DFD</w:t>
      </w:r>
      <w:r w:rsidRPr="00987110">
        <w:rPr>
          <w:color w:val="000000"/>
          <w:sz w:val="28"/>
          <w:szCs w:val="28"/>
        </w:rPr>
        <w:br/>
        <w:t>Обсуждалось, что сильной стороной главы является именно совместное использование двух представлений архитектуры.</w:t>
      </w:r>
      <w:r w:rsidRPr="00987110">
        <w:rPr>
          <w:color w:val="000000"/>
          <w:sz w:val="28"/>
          <w:szCs w:val="28"/>
        </w:rPr>
        <w:br/>
        <w:t>Физическая модель показывает, где и в каком виде данные хранятся, а DFD — как они перемещаются и преобразуются.</w:t>
      </w:r>
      <w:r w:rsidRPr="00987110">
        <w:rPr>
          <w:color w:val="000000"/>
          <w:sz w:val="28"/>
          <w:szCs w:val="28"/>
        </w:rPr>
        <w:br/>
        <w:t>Рекомендовано в итоговом выводе главы сохранить эту мысль как основную идею архитектурного описания.</w:t>
      </w:r>
    </w:p>
    <w:p w14:paraId="507BE2B3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Тема 22. Замечания по стилю и оформлению</w:t>
      </w:r>
      <w:r w:rsidRPr="00987110">
        <w:rPr>
          <w:color w:val="000000"/>
          <w:sz w:val="28"/>
          <w:szCs w:val="28"/>
        </w:rPr>
        <w:br/>
        <w:t>Рекомендовано провести стилистическое уплотнение текста, особенно в длинных абзацах разделов 5.1 и 5.2.</w:t>
      </w:r>
      <w:r w:rsidRPr="00987110">
        <w:rPr>
          <w:color w:val="000000"/>
          <w:sz w:val="28"/>
          <w:szCs w:val="28"/>
        </w:rPr>
        <w:br/>
        <w:t>Также предложено проверить единообразие терминов: «физическая модель данных», «диаграмма потоков данных», «накопитель данных», «контур обработки», «тематический профиль», «предметная область».</w:t>
      </w:r>
      <w:r w:rsidRPr="00987110">
        <w:rPr>
          <w:color w:val="000000"/>
          <w:sz w:val="28"/>
          <w:szCs w:val="28"/>
        </w:rPr>
        <w:br/>
        <w:t>Отдельно нужно проследить за оформлением ссылок на приложения, нумерацией и согласованностью с предыдущими главами.</w:t>
      </w:r>
    </w:p>
    <w:p w14:paraId="3BB4CCA3" w14:textId="77777777" w:rsidR="00987110" w:rsidRPr="00987110" w:rsidRDefault="00987110" w:rsidP="00987110">
      <w:pPr>
        <w:pStyle w:val="NormalWeb"/>
        <w:spacing w:line="360" w:lineRule="auto"/>
        <w:rPr>
          <w:color w:val="000000"/>
          <w:sz w:val="28"/>
          <w:szCs w:val="28"/>
        </w:rPr>
      </w:pPr>
      <w:r w:rsidRPr="00987110">
        <w:rPr>
          <w:rStyle w:val="Strong"/>
          <w:rFonts w:eastAsiaTheme="majorEastAsia"/>
          <w:color w:val="000000"/>
          <w:sz w:val="28"/>
          <w:szCs w:val="28"/>
        </w:rPr>
        <w:t>Итог встречи</w:t>
      </w:r>
      <w:r w:rsidRPr="00987110">
        <w:rPr>
          <w:color w:val="000000"/>
          <w:sz w:val="28"/>
          <w:szCs w:val="28"/>
        </w:rPr>
        <w:br/>
        <w:t>Глава 5 в целом признана содержательно сильной и соответствующей задаче архитектурного описания программного продукта.</w:t>
      </w:r>
      <w:r w:rsidRPr="00987110">
        <w:rPr>
          <w:color w:val="000000"/>
          <w:sz w:val="28"/>
          <w:szCs w:val="28"/>
        </w:rPr>
        <w:br/>
      </w:r>
      <w:r w:rsidRPr="00987110">
        <w:rPr>
          <w:color w:val="000000"/>
          <w:sz w:val="28"/>
          <w:szCs w:val="28"/>
        </w:rPr>
        <w:lastRenderedPageBreak/>
        <w:t>Основные правки касаются стилистического уплотнения, более явного разграничения уровней представления архитектуры, уточнения роли очереди задач и выравнивания терминологии по всей главе.</w:t>
      </w:r>
    </w:p>
    <w:p w14:paraId="120359CF" w14:textId="77777777" w:rsidR="00B62F72" w:rsidRPr="00987110" w:rsidRDefault="00B62F72" w:rsidP="00987110">
      <w:pPr>
        <w:spacing w:line="360" w:lineRule="auto"/>
        <w:rPr>
          <w:sz w:val="28"/>
          <w:szCs w:val="28"/>
        </w:rPr>
      </w:pPr>
    </w:p>
    <w:sectPr w:rsidR="00B62F72" w:rsidRPr="00987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10"/>
    <w:rsid w:val="00573C20"/>
    <w:rsid w:val="008F7371"/>
    <w:rsid w:val="00987110"/>
    <w:rsid w:val="00B62F72"/>
    <w:rsid w:val="00E2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829084"/>
  <w15:chartTrackingRefBased/>
  <w15:docId w15:val="{12026D50-9D8E-6249-B2E2-12E367AC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871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1506</Words>
  <Characters>8586</Characters>
  <Application>Microsoft Office Word</Application>
  <DocSecurity>0</DocSecurity>
  <Lines>71</Lines>
  <Paragraphs>20</Paragraphs>
  <ScaleCrop>false</ScaleCrop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Чернов</dc:creator>
  <cp:keywords/>
  <dc:description/>
  <cp:lastModifiedBy>Артем Чернов</cp:lastModifiedBy>
  <cp:revision>1</cp:revision>
  <dcterms:created xsi:type="dcterms:W3CDTF">2026-03-24T11:51:00Z</dcterms:created>
  <dcterms:modified xsi:type="dcterms:W3CDTF">2026-03-24T11:51:00Z</dcterms:modified>
</cp:coreProperties>
</file>