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0A9AA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Конспект встречи от 05.03.2026</w:t>
      </w:r>
      <w:r w:rsidRPr="00DA4FF4">
        <w:rPr>
          <w:color w:val="000000"/>
          <w:sz w:val="28"/>
          <w:szCs w:val="28"/>
        </w:rPr>
        <w:br/>
      </w:r>
      <w:r w:rsidRPr="00DA4FF4">
        <w:rPr>
          <w:rStyle w:val="Strong"/>
          <w:rFonts w:eastAsiaTheme="majorEastAsia"/>
          <w:color w:val="000000"/>
          <w:sz w:val="28"/>
          <w:szCs w:val="28"/>
        </w:rPr>
        <w:t>Тема:</w:t>
      </w:r>
      <w:r w:rsidRPr="00DA4FF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r w:rsidRPr="00DA4FF4">
        <w:rPr>
          <w:color w:val="000000"/>
          <w:sz w:val="28"/>
          <w:szCs w:val="28"/>
        </w:rPr>
        <w:t>Обзор и правки по главе 1 «Материалы, модели и методы, используемые в работе. Оценки моделей»</w:t>
      </w:r>
    </w:p>
    <w:p w14:paraId="5819BC58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1. Общее содержание главы</w:t>
      </w:r>
      <w:r w:rsidRPr="00DA4FF4">
        <w:rPr>
          <w:color w:val="000000"/>
          <w:sz w:val="28"/>
          <w:szCs w:val="28"/>
        </w:rPr>
        <w:br/>
        <w:t>Глава 1 в целом охватывает необходимые компоненты для описания методической и технической основы ВКР.</w:t>
      </w:r>
      <w:r w:rsidRPr="00DA4FF4">
        <w:rPr>
          <w:color w:val="000000"/>
          <w:sz w:val="28"/>
          <w:szCs w:val="28"/>
        </w:rPr>
        <w:br/>
        <w:t>Отмечено, что структура главы логичная: от источников данных и предобработки до метрик, экспериментов и архитектуры решения.</w:t>
      </w:r>
      <w:r w:rsidRPr="00DA4FF4">
        <w:rPr>
          <w:color w:val="000000"/>
          <w:sz w:val="28"/>
          <w:szCs w:val="28"/>
        </w:rPr>
        <w:br/>
        <w:t>Рекомендовано сохранить текущую последовательность подразделов, так как она соответствует ходу построения системы и воспринимается последовательно.</w:t>
      </w:r>
    </w:p>
    <w:p w14:paraId="6E5B50C9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2. Название главы и формулировка вводного абзаца</w:t>
      </w:r>
      <w:r w:rsidRPr="00DA4FF4">
        <w:rPr>
          <w:color w:val="000000"/>
          <w:sz w:val="28"/>
          <w:szCs w:val="28"/>
        </w:rPr>
        <w:br/>
        <w:t>Обсуждалось, что название главы в целом отражает содержание, однако текст вводного абзаца должен быть более компактным и академически точным.</w:t>
      </w:r>
      <w:r w:rsidRPr="00DA4FF4">
        <w:rPr>
          <w:color w:val="000000"/>
          <w:sz w:val="28"/>
          <w:szCs w:val="28"/>
        </w:rPr>
        <w:br/>
        <w:t>Рекомендовано убрать избыточные повторы слов «описание», «используемые», «необходимые».</w:t>
      </w:r>
      <w:r w:rsidRPr="00DA4FF4">
        <w:rPr>
          <w:color w:val="000000"/>
          <w:sz w:val="28"/>
          <w:szCs w:val="28"/>
        </w:rPr>
        <w:br/>
        <w:t>Сделан акцент на том, что во введении к главе нужно сразу связать её содержание с целью ВКР и показать, что именно эта глава описывает основу предлагаемого решения.</w:t>
      </w:r>
    </w:p>
    <w:p w14:paraId="40372089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3. Источники данных</w:t>
      </w:r>
      <w:r w:rsidRPr="00DA4FF4">
        <w:rPr>
          <w:color w:val="000000"/>
          <w:sz w:val="28"/>
          <w:szCs w:val="28"/>
        </w:rPr>
        <w:br/>
        <w:t>Подраздел 1.1 признан содержательно сильным, но требующим стилистической вычитки.</w:t>
      </w:r>
      <w:r w:rsidRPr="00DA4FF4">
        <w:rPr>
          <w:color w:val="000000"/>
          <w:sz w:val="28"/>
          <w:szCs w:val="28"/>
        </w:rPr>
        <w:br/>
        <w:t>Рекомендовано чётче разделить внутренние и внешние источники данных:</w:t>
      </w:r>
      <w:r w:rsidRPr="00DA4FF4">
        <w:rPr>
          <w:color w:val="000000"/>
          <w:sz w:val="28"/>
          <w:szCs w:val="28"/>
        </w:rPr>
        <w:br/>
        <w:t>внутренний корпус учебных документов;</w:t>
      </w:r>
      <w:r w:rsidRPr="00DA4FF4">
        <w:rPr>
          <w:color w:val="000000"/>
          <w:sz w:val="28"/>
          <w:szCs w:val="28"/>
        </w:rPr>
        <w:br/>
        <w:t>источники для формирования областей знаний;</w:t>
      </w:r>
      <w:r w:rsidRPr="00DA4FF4">
        <w:rPr>
          <w:color w:val="000000"/>
          <w:sz w:val="28"/>
          <w:szCs w:val="28"/>
        </w:rPr>
        <w:br/>
        <w:t>источники для формирования тегов и синонимов.</w:t>
      </w:r>
      <w:r w:rsidRPr="00DA4FF4">
        <w:rPr>
          <w:color w:val="000000"/>
          <w:sz w:val="28"/>
          <w:szCs w:val="28"/>
        </w:rPr>
        <w:br/>
      </w:r>
      <w:r w:rsidRPr="00DA4FF4">
        <w:rPr>
          <w:color w:val="000000"/>
          <w:sz w:val="28"/>
          <w:szCs w:val="28"/>
        </w:rPr>
        <w:lastRenderedPageBreak/>
        <w:t>Отмечено, что формулировки про arXiv и Stack Overflow лучше оставить как «источники-ориентиры», чтобы не создавать впечатление полного прямого заимствования структуры предметной области.</w:t>
      </w:r>
    </w:p>
    <w:p w14:paraId="1DE808CE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4. Описание данных и сценарий использования</w:t>
      </w:r>
      <w:r w:rsidRPr="00DA4FF4">
        <w:rPr>
          <w:color w:val="000000"/>
          <w:sz w:val="28"/>
          <w:szCs w:val="28"/>
        </w:rPr>
        <w:br/>
        <w:t>Подраздел 1.2 признан важным, так как именно он показывает, как данные реально участвуют в работе системы.</w:t>
      </w:r>
      <w:r w:rsidRPr="00DA4FF4">
        <w:rPr>
          <w:color w:val="000000"/>
          <w:sz w:val="28"/>
          <w:szCs w:val="28"/>
        </w:rPr>
        <w:br/>
        <w:t>Рекомендовано сделать сильнее связку между документом, преподавателем, тегами и областью знаний.</w:t>
      </w:r>
      <w:r w:rsidRPr="00DA4FF4">
        <w:rPr>
          <w:color w:val="000000"/>
          <w:sz w:val="28"/>
          <w:szCs w:val="28"/>
        </w:rPr>
        <w:br/>
        <w:t>Отдельно отмечено, что сценарий «ввод – обработка – выход» изложен удачно, но его можно сделать чуть компактнее и более формальным по стилю.</w:t>
      </w:r>
      <w:r w:rsidRPr="00DA4FF4">
        <w:rPr>
          <w:color w:val="000000"/>
          <w:sz w:val="28"/>
          <w:szCs w:val="28"/>
        </w:rPr>
        <w:br/>
        <w:t>Предложено избегать разговорных переходов и унифицировать описание этапов пайплайна.</w:t>
      </w:r>
    </w:p>
    <w:p w14:paraId="69A682ED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5. Предобработка данных</w:t>
      </w:r>
      <w:r w:rsidRPr="00DA4FF4">
        <w:rPr>
          <w:color w:val="000000"/>
          <w:sz w:val="28"/>
          <w:szCs w:val="28"/>
        </w:rPr>
        <w:br/>
        <w:t>Подраздел 1.3 оценён как методически корректный.</w:t>
      </w:r>
      <w:r w:rsidRPr="00DA4FF4">
        <w:rPr>
          <w:color w:val="000000"/>
          <w:sz w:val="28"/>
          <w:szCs w:val="28"/>
        </w:rPr>
        <w:br/>
        <w:t>Отмечено, что дедупликация по SHA-256 и по подписи введения выглядит как сильная практическая часть и её нужно сохранить.</w:t>
      </w:r>
      <w:r w:rsidRPr="00DA4FF4">
        <w:rPr>
          <w:color w:val="000000"/>
          <w:sz w:val="28"/>
          <w:szCs w:val="28"/>
        </w:rPr>
        <w:br/>
        <w:t>Рекомендовано немного сократить повторение мысли о снижении шумов и привести формулировки предобработки к единому стилю:</w:t>
      </w:r>
      <w:r w:rsidRPr="00DA4FF4">
        <w:rPr>
          <w:color w:val="000000"/>
          <w:sz w:val="28"/>
          <w:szCs w:val="28"/>
        </w:rPr>
        <w:br/>
        <w:t>извлечение;</w:t>
      </w:r>
      <w:r w:rsidRPr="00DA4FF4">
        <w:rPr>
          <w:color w:val="000000"/>
          <w:sz w:val="28"/>
          <w:szCs w:val="28"/>
        </w:rPr>
        <w:br/>
        <w:t>структурное выделение;</w:t>
      </w:r>
      <w:r w:rsidRPr="00DA4FF4">
        <w:rPr>
          <w:color w:val="000000"/>
          <w:sz w:val="28"/>
          <w:szCs w:val="28"/>
        </w:rPr>
        <w:br/>
        <w:t>очистка;</w:t>
      </w:r>
      <w:r w:rsidRPr="00DA4FF4">
        <w:rPr>
          <w:color w:val="000000"/>
          <w:sz w:val="28"/>
          <w:szCs w:val="28"/>
        </w:rPr>
        <w:br/>
        <w:t>нормализация;</w:t>
      </w:r>
      <w:r w:rsidRPr="00DA4FF4">
        <w:rPr>
          <w:color w:val="000000"/>
          <w:sz w:val="28"/>
          <w:szCs w:val="28"/>
        </w:rPr>
        <w:br/>
        <w:t>дедупликация.</w:t>
      </w:r>
    </w:p>
    <w:p w14:paraId="33F9B1DD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6. Модели, методы и алгоритмы</w:t>
      </w:r>
      <w:r w:rsidRPr="00DA4FF4">
        <w:rPr>
          <w:color w:val="000000"/>
          <w:sz w:val="28"/>
          <w:szCs w:val="28"/>
        </w:rPr>
        <w:br/>
        <w:t>Подраздел 1.4 признан центральным для главы.</w:t>
      </w:r>
      <w:r w:rsidRPr="00DA4FF4">
        <w:rPr>
          <w:color w:val="000000"/>
          <w:sz w:val="28"/>
          <w:szCs w:val="28"/>
        </w:rPr>
        <w:br/>
        <w:t xml:space="preserve">Отмечено, что здесь важно особенно внимательно следить за </w:t>
      </w:r>
      <w:r w:rsidRPr="00DA4FF4">
        <w:rPr>
          <w:color w:val="000000"/>
          <w:sz w:val="28"/>
          <w:szCs w:val="28"/>
        </w:rPr>
        <w:lastRenderedPageBreak/>
        <w:t>терминологией: не смешивать методы, режимы работы системы, эвристики и модели.</w:t>
      </w:r>
      <w:r w:rsidRPr="00DA4FF4">
        <w:rPr>
          <w:color w:val="000000"/>
          <w:sz w:val="28"/>
          <w:szCs w:val="28"/>
        </w:rPr>
        <w:br/>
        <w:t>Рекомендовано явно разделить:</w:t>
      </w:r>
      <w:r w:rsidRPr="00DA4FF4">
        <w:rPr>
          <w:color w:val="000000"/>
          <w:sz w:val="28"/>
          <w:szCs w:val="28"/>
        </w:rPr>
        <w:br/>
        <w:t>извлечение тегов;</w:t>
      </w:r>
      <w:r w:rsidRPr="00DA4FF4">
        <w:rPr>
          <w:color w:val="000000"/>
          <w:sz w:val="28"/>
          <w:szCs w:val="28"/>
        </w:rPr>
        <w:br/>
        <w:t>сопоставление тегов с областями знаний;</w:t>
      </w:r>
      <w:r w:rsidRPr="00DA4FF4">
        <w:rPr>
          <w:color w:val="000000"/>
          <w:sz w:val="28"/>
          <w:szCs w:val="28"/>
        </w:rPr>
        <w:br/>
        <w:t>ранжирование преподавателей;</w:t>
      </w:r>
      <w:r w:rsidRPr="00DA4FF4">
        <w:rPr>
          <w:color w:val="000000"/>
          <w:sz w:val="28"/>
          <w:szCs w:val="28"/>
        </w:rPr>
        <w:br/>
        <w:t>объяснимость рекомендаций.</w:t>
      </w:r>
      <w:r w:rsidRPr="00DA4FF4">
        <w:rPr>
          <w:color w:val="000000"/>
          <w:sz w:val="28"/>
          <w:szCs w:val="28"/>
        </w:rPr>
        <w:br/>
        <w:t>Также предложено осторожнее использовать формулировку про «большую языковую модель», чтобы не возникало ощущения, будто именно она является ядром всей системы, если фактически это только один из вариантов сопоставления.</w:t>
      </w:r>
    </w:p>
    <w:p w14:paraId="0D29371E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7. Формализация расчётов и логика ранжирования</w:t>
      </w:r>
      <w:r w:rsidRPr="00DA4FF4">
        <w:rPr>
          <w:color w:val="000000"/>
          <w:sz w:val="28"/>
          <w:szCs w:val="28"/>
        </w:rPr>
        <w:br/>
        <w:t>Обсуждалось, что раздел про итоговую оценку преподавателя выглядит содержательно, но требует ещё большей прозрачности.</w:t>
      </w:r>
      <w:r w:rsidRPr="00DA4FF4">
        <w:rPr>
          <w:color w:val="000000"/>
          <w:sz w:val="28"/>
          <w:szCs w:val="28"/>
        </w:rPr>
        <w:br/>
        <w:t>Рекомендовано сохранить идею взвешенной композиции, но описывать её максимально понятно: что учитывается, почему именно это учитывается и как это влияет на итоговую рекомендацию.</w:t>
      </w:r>
      <w:r w:rsidRPr="00DA4FF4">
        <w:rPr>
          <w:color w:val="000000"/>
          <w:sz w:val="28"/>
          <w:szCs w:val="28"/>
        </w:rPr>
        <w:br/>
        <w:t>Подчёркнута важность объяснимости как отдельного достоинства системы.</w:t>
      </w:r>
    </w:p>
    <w:p w14:paraId="0134267C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8. Процесс обучения и настройки</w:t>
      </w:r>
      <w:r w:rsidRPr="00DA4FF4">
        <w:rPr>
          <w:color w:val="000000"/>
          <w:sz w:val="28"/>
          <w:szCs w:val="28"/>
        </w:rPr>
        <w:br/>
        <w:t>Подраздел 1.5 признан логически правильным: если обучение внутри системы не проводится, это нужно прямо фиксировать.</w:t>
      </w:r>
      <w:r w:rsidRPr="00DA4FF4">
        <w:rPr>
          <w:color w:val="000000"/>
          <w:sz w:val="28"/>
          <w:szCs w:val="28"/>
        </w:rPr>
        <w:br/>
        <w:t>Отмечено, что такое описание лучше воспринимается, когда сразу противопоставляется «обучению» и «настройке параметров».</w:t>
      </w:r>
      <w:r w:rsidRPr="00DA4FF4">
        <w:rPr>
          <w:color w:val="000000"/>
          <w:sz w:val="28"/>
          <w:szCs w:val="28"/>
        </w:rPr>
        <w:br/>
        <w:t>Рекомендовано сделать акцент на воспроизводимости: параметры должны быть зафиксированы на момент эксперимента.</w:t>
      </w:r>
    </w:p>
    <w:p w14:paraId="48B51972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lastRenderedPageBreak/>
        <w:t>Тема 9. Метрики и критерии оценки</w:t>
      </w:r>
      <w:r w:rsidRPr="00DA4FF4">
        <w:rPr>
          <w:color w:val="000000"/>
          <w:sz w:val="28"/>
          <w:szCs w:val="28"/>
        </w:rPr>
        <w:br/>
        <w:t>Подраздел 1.6 требует особенно внимательной правки формул и обозначений.</w:t>
      </w:r>
      <w:r w:rsidRPr="00DA4FF4">
        <w:rPr>
          <w:color w:val="000000"/>
          <w:sz w:val="28"/>
          <w:szCs w:val="28"/>
        </w:rPr>
        <w:br/>
        <w:t>Отмечено, что определения Precision и Recall нужно перепроверить, чтобы формулы и текстовые интерпретации строго соответствовали друг другу.</w:t>
      </w:r>
      <w:r w:rsidRPr="00DA4FF4">
        <w:rPr>
          <w:color w:val="000000"/>
          <w:sz w:val="28"/>
          <w:szCs w:val="28"/>
        </w:rPr>
        <w:br/>
        <w:t>Также рекомендовано единообразно оформить обозначения TP, FP, FN и метрики top-K.</w:t>
      </w:r>
      <w:r w:rsidRPr="00DA4FF4">
        <w:rPr>
          <w:color w:val="000000"/>
          <w:sz w:val="28"/>
          <w:szCs w:val="28"/>
        </w:rPr>
        <w:br/>
        <w:t>Подчёркнуто, что этот раздел является принципиально важным для научной части, поэтому в нём не должно быть двусмысленностей.</w:t>
      </w:r>
    </w:p>
    <w:p w14:paraId="669DFF4F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10. Протокол оценки и экспертная истина</w:t>
      </w:r>
      <w:r w:rsidRPr="00DA4FF4">
        <w:rPr>
          <w:color w:val="000000"/>
          <w:sz w:val="28"/>
          <w:szCs w:val="28"/>
        </w:rPr>
        <w:br/>
        <w:t>Отдельно обсуждался блок про эталон и экспертную проверку.</w:t>
      </w:r>
      <w:r w:rsidRPr="00DA4FF4">
        <w:rPr>
          <w:color w:val="000000"/>
          <w:sz w:val="28"/>
          <w:szCs w:val="28"/>
        </w:rPr>
        <w:br/>
        <w:t>Признано удачным, что «истина» задаётся экспертно и фиксируется версия корпуса и версия графа связей.</w:t>
      </w:r>
      <w:r w:rsidRPr="00DA4FF4">
        <w:rPr>
          <w:color w:val="000000"/>
          <w:sz w:val="28"/>
          <w:szCs w:val="28"/>
        </w:rPr>
        <w:br/>
        <w:t>Рекомендовано чуть аккуратнее сформулировать расширенный режим эталона, чтобы было ясно, что множественная релевантность руководителей задаётся только для части запросов, а не для всего корпуса.</w:t>
      </w:r>
    </w:p>
    <w:p w14:paraId="56585749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11. Эксперименты и тестирование</w:t>
      </w:r>
      <w:r w:rsidRPr="00DA4FF4">
        <w:rPr>
          <w:color w:val="000000"/>
          <w:sz w:val="28"/>
          <w:szCs w:val="28"/>
        </w:rPr>
        <w:br/>
        <w:t>Подраздел 1.7 в целом соответствует задаче главы.</w:t>
      </w:r>
      <w:r w:rsidRPr="00DA4FF4">
        <w:rPr>
          <w:color w:val="000000"/>
          <w:sz w:val="28"/>
          <w:szCs w:val="28"/>
        </w:rPr>
        <w:br/>
        <w:t>Положительно отмечено сравнение нескольких методов сопоставления на одном и том же наборе документов.</w:t>
      </w:r>
      <w:r w:rsidRPr="00DA4FF4">
        <w:rPr>
          <w:color w:val="000000"/>
          <w:sz w:val="28"/>
          <w:szCs w:val="28"/>
        </w:rPr>
        <w:br/>
        <w:t>Рекомендовано развести в тексте два аспекта:</w:t>
      </w:r>
      <w:r w:rsidRPr="00DA4FF4">
        <w:rPr>
          <w:color w:val="000000"/>
          <w:sz w:val="28"/>
          <w:szCs w:val="28"/>
        </w:rPr>
        <w:br/>
        <w:t>вычислительные эксперименты как научная оценка;</w:t>
      </w:r>
      <w:r w:rsidRPr="00DA4FF4">
        <w:rPr>
          <w:color w:val="000000"/>
          <w:sz w:val="28"/>
          <w:szCs w:val="28"/>
        </w:rPr>
        <w:br/>
        <w:t>тестирование программного продукта как инженерная проверка.</w:t>
      </w:r>
      <w:r w:rsidRPr="00DA4FF4">
        <w:rPr>
          <w:color w:val="000000"/>
          <w:sz w:val="28"/>
          <w:szCs w:val="28"/>
        </w:rPr>
        <w:br/>
        <w:t>Это сделает раздел методически чище.</w:t>
      </w:r>
    </w:p>
    <w:p w14:paraId="16196057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12. Технологии и архитектура решения</w:t>
      </w:r>
      <w:r w:rsidRPr="00DA4FF4">
        <w:rPr>
          <w:color w:val="000000"/>
          <w:sz w:val="28"/>
          <w:szCs w:val="28"/>
        </w:rPr>
        <w:br/>
        <w:t>Подраздел 1.8 признан достаточно полным.</w:t>
      </w:r>
      <w:r w:rsidRPr="00DA4FF4">
        <w:rPr>
          <w:color w:val="000000"/>
          <w:sz w:val="28"/>
          <w:szCs w:val="28"/>
        </w:rPr>
        <w:br/>
        <w:t xml:space="preserve">Отмечено, что архитектурное описание выглядит убедительно, особенно </w:t>
      </w:r>
      <w:r w:rsidRPr="00DA4FF4">
        <w:rPr>
          <w:color w:val="000000"/>
          <w:sz w:val="28"/>
          <w:szCs w:val="28"/>
        </w:rPr>
        <w:lastRenderedPageBreak/>
        <w:t>часть про фоновые исполнители, статусы задач и очередь заданий на базе СУБД.</w:t>
      </w:r>
      <w:r w:rsidRPr="00DA4FF4">
        <w:rPr>
          <w:color w:val="000000"/>
          <w:sz w:val="28"/>
          <w:szCs w:val="28"/>
        </w:rPr>
        <w:br/>
        <w:t>Рекомендовано избегать избыточной детализации в перечислении библиотек, если эти детали не используются далее в тексте ВКР как предмет анализа.</w:t>
      </w:r>
      <w:r w:rsidRPr="00DA4FF4">
        <w:rPr>
          <w:color w:val="000000"/>
          <w:sz w:val="28"/>
          <w:szCs w:val="28"/>
        </w:rPr>
        <w:br/>
        <w:t>Нужно сохранить баланс между инженерной конкретикой и академическим стилем.</w:t>
      </w:r>
    </w:p>
    <w:p w14:paraId="6691B4C2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13. Программно-аппаратное обеспечение</w:t>
      </w:r>
      <w:r w:rsidRPr="00DA4FF4">
        <w:rPr>
          <w:color w:val="000000"/>
          <w:sz w:val="28"/>
          <w:szCs w:val="28"/>
        </w:rPr>
        <w:br/>
        <w:t>Подраздел 1.9 признан уместным, но его можно сделать чуть компактнее.</w:t>
      </w:r>
      <w:r w:rsidRPr="00DA4FF4">
        <w:rPr>
          <w:color w:val="000000"/>
          <w:sz w:val="28"/>
          <w:szCs w:val="28"/>
        </w:rPr>
        <w:br/>
        <w:t>Рекомендовано не перегружать текст второстепенными деталями, если они не влияют на воспроизводимость результатов.</w:t>
      </w:r>
      <w:r w:rsidRPr="00DA4FF4">
        <w:rPr>
          <w:color w:val="000000"/>
          <w:sz w:val="28"/>
          <w:szCs w:val="28"/>
        </w:rPr>
        <w:br/>
        <w:t>При этом требования к CPU/GPU, ОС и основному стеку оставить, так как они подтверждают реализуемость системы.</w:t>
      </w:r>
    </w:p>
    <w:p w14:paraId="7ED0576E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14. Терминология главы</w:t>
      </w:r>
      <w:r w:rsidRPr="00DA4FF4">
        <w:rPr>
          <w:color w:val="000000"/>
          <w:sz w:val="28"/>
          <w:szCs w:val="28"/>
        </w:rPr>
        <w:br/>
        <w:t>Отмечено, что по всей главе нужно выдержать единый словарь:</w:t>
      </w:r>
      <w:r w:rsidRPr="00DA4FF4">
        <w:rPr>
          <w:color w:val="000000"/>
          <w:sz w:val="28"/>
          <w:szCs w:val="28"/>
        </w:rPr>
        <w:br/>
        <w:t>«область знаний», а не «домен»;</w:t>
      </w:r>
      <w:r w:rsidRPr="00DA4FF4">
        <w:rPr>
          <w:color w:val="000000"/>
          <w:sz w:val="28"/>
          <w:szCs w:val="28"/>
        </w:rPr>
        <w:br/>
        <w:t>«академические предпочтения» или «интересы студента» — использовать один вариант последовательно;</w:t>
      </w:r>
      <w:r w:rsidRPr="00DA4FF4">
        <w:rPr>
          <w:color w:val="000000"/>
          <w:sz w:val="28"/>
          <w:szCs w:val="28"/>
        </w:rPr>
        <w:br/>
        <w:t>«сопоставление», «ранжирование», «объяснимость» — не подменять близкими, но неравнозначными словами.</w:t>
      </w:r>
      <w:r w:rsidRPr="00DA4FF4">
        <w:rPr>
          <w:color w:val="000000"/>
          <w:sz w:val="28"/>
          <w:szCs w:val="28"/>
        </w:rPr>
        <w:br/>
        <w:t>Рекомендовано провести отдельную финальную вычитку главы именно на терминологическую согласованность.</w:t>
      </w:r>
    </w:p>
    <w:p w14:paraId="19B718D0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Тема 15. Замечания по стилю и оформлению</w:t>
      </w:r>
      <w:r w:rsidRPr="00DA4FF4">
        <w:rPr>
          <w:color w:val="000000"/>
          <w:sz w:val="28"/>
          <w:szCs w:val="28"/>
        </w:rPr>
        <w:br/>
        <w:t>Предложено сократить слишком длинные предложения в подразделах 1.2, 1.4 и 1.6.</w:t>
      </w:r>
      <w:r w:rsidRPr="00DA4FF4">
        <w:rPr>
          <w:color w:val="000000"/>
          <w:sz w:val="28"/>
          <w:szCs w:val="28"/>
        </w:rPr>
        <w:br/>
        <w:t>Рекомендовано убрать повторяющиеся конструкции вида «в текущем этапе», «в текущем контуре», если они встречаются слишком часто.</w:t>
      </w:r>
      <w:r w:rsidRPr="00DA4FF4">
        <w:rPr>
          <w:color w:val="000000"/>
          <w:sz w:val="28"/>
          <w:szCs w:val="28"/>
        </w:rPr>
        <w:br/>
      </w:r>
      <w:r w:rsidRPr="00DA4FF4">
        <w:rPr>
          <w:color w:val="000000"/>
          <w:sz w:val="28"/>
          <w:szCs w:val="28"/>
        </w:rPr>
        <w:lastRenderedPageBreak/>
        <w:t>Также отмечена необходимость проверить единообразие оформления списков, формул, ссылок на источники и нумерации подразделов.</w:t>
      </w:r>
    </w:p>
    <w:p w14:paraId="203FB529" w14:textId="77777777" w:rsidR="00DA4FF4" w:rsidRPr="00DA4FF4" w:rsidRDefault="00DA4FF4" w:rsidP="00DA4FF4">
      <w:pPr>
        <w:pStyle w:val="NormalWeb"/>
        <w:spacing w:line="360" w:lineRule="auto"/>
        <w:rPr>
          <w:color w:val="000000"/>
          <w:sz w:val="28"/>
          <w:szCs w:val="28"/>
        </w:rPr>
      </w:pPr>
      <w:r w:rsidRPr="00DA4FF4">
        <w:rPr>
          <w:rStyle w:val="Strong"/>
          <w:rFonts w:eastAsiaTheme="majorEastAsia"/>
          <w:color w:val="000000"/>
          <w:sz w:val="28"/>
          <w:szCs w:val="28"/>
        </w:rPr>
        <w:t>Итог встречи</w:t>
      </w:r>
      <w:r w:rsidRPr="00DA4FF4">
        <w:rPr>
          <w:color w:val="000000"/>
          <w:sz w:val="28"/>
          <w:szCs w:val="28"/>
        </w:rPr>
        <w:br/>
        <w:t>Глава 1 имеет хорошую структуру и охватывает основные материалы, методы и критерии оценки, необходимые для ВКР.</w:t>
      </w:r>
      <w:r w:rsidRPr="00DA4FF4">
        <w:rPr>
          <w:color w:val="000000"/>
          <w:sz w:val="28"/>
          <w:szCs w:val="28"/>
        </w:rPr>
        <w:br/>
        <w:t>Основные правки касаются стилистического уплотнения текста, терминологической согласованности, повышения ясности описания алгоритмов и особенно внимательной проверки раздела с метриками.</w:t>
      </w:r>
      <w:r w:rsidRPr="00DA4FF4">
        <w:rPr>
          <w:color w:val="000000"/>
          <w:sz w:val="28"/>
          <w:szCs w:val="28"/>
        </w:rPr>
        <w:br/>
        <w:t>После внесения правок глава может использоваться как основа методологической части работы.</w:t>
      </w:r>
    </w:p>
    <w:p w14:paraId="2C0C7D74" w14:textId="77777777" w:rsidR="00B62F72" w:rsidRPr="00DA4FF4" w:rsidRDefault="00B62F72" w:rsidP="00DA4FF4">
      <w:pPr>
        <w:spacing w:line="360" w:lineRule="auto"/>
        <w:rPr>
          <w:sz w:val="28"/>
          <w:szCs w:val="28"/>
        </w:rPr>
      </w:pPr>
    </w:p>
    <w:sectPr w:rsidR="00B62F72" w:rsidRPr="00DA4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FF4"/>
    <w:rsid w:val="00573C20"/>
    <w:rsid w:val="008F7371"/>
    <w:rsid w:val="00B62F72"/>
    <w:rsid w:val="00DA4FF4"/>
    <w:rsid w:val="00E26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6E7DDE"/>
  <w15:chartTrackingRefBased/>
  <w15:docId w15:val="{4EDF6D4E-D6B3-A84B-BD9C-275F9675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F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4F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A4FF4"/>
    <w:rPr>
      <w:b/>
      <w:bCs/>
    </w:rPr>
  </w:style>
  <w:style w:type="character" w:customStyle="1" w:styleId="apple-converted-space">
    <w:name w:val="apple-converted-space"/>
    <w:basedOn w:val="DefaultParagraphFont"/>
    <w:rsid w:val="00DA4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Чернов</dc:creator>
  <cp:keywords/>
  <dc:description/>
  <cp:lastModifiedBy>Артем Чернов</cp:lastModifiedBy>
  <cp:revision>1</cp:revision>
  <dcterms:created xsi:type="dcterms:W3CDTF">2026-03-24T11:36:00Z</dcterms:created>
  <dcterms:modified xsi:type="dcterms:W3CDTF">2026-03-24T11:36:00Z</dcterms:modified>
</cp:coreProperties>
</file>