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Cloud Provider Analytics</w:t>
      </w:r>
    </w:p>
    <w:p>
      <w:pPr>
        <w:pStyle w:val="Subtitle"/>
      </w:pPr>
      <w:r>
        <w:rPr>
          <w:b w:val="0"/>
        </w:rPr>
        <w:t>Diseño y fundación de datos</w:t>
      </w:r>
    </w:p>
    <w:p>
      <w:r>
        <w:rPr>
          <w:b w:val="0"/>
        </w:rPr>
        <w:t>Primera entrega · Versión 1.1 · 5 de octubre de 2026 · Prof. Diego Mosquera</w:t>
      </w:r>
    </w:p>
    <w:p>
      <w:r>
        <w:rPr>
          <w:b w:val="0"/>
        </w:rPr>
        <w:t>Stephanie Amairany Castillo Avendaño · Gianluca Giannine Lizarraga · Agustín Ezequiel Pagani · Tomas Lautaro Reymundo · Antonio Uriel Serrano Jaimes</w:t>
      </w:r>
    </w:p>
    <w:p>
      <w:r>
        <w:rPr>
          <w:b w:val="0"/>
        </w:rPr>
        <w:t>Proponemos una arquitectura híbrida con PySpark, Parquet y Cassandra/AstraDB para integrar consumo, clientes, facturación y soporte. Esta entrega presenta el diseño, la exploración de las ocho fuentes y una base reproducible para la implementación. Batch productivo, streaming y serving quedan planificados para las próximas instancias.</w:t>
      </w:r>
    </w:p>
    <w:p>
      <w:pPr>
        <w:pStyle w:val="Heading1"/>
      </w:pPr>
      <w:r>
        <w:t>1 Problema y objetivos</w:t>
      </w:r>
    </w:p>
    <w:p>
      <w:r>
        <w:rPr>
          <w:b w:val="0"/>
        </w:rPr>
        <w:t>FinOps necesita costos diarios por organización y servicio, servicios más costosos y revenue mensual. Soporte requiere tickets críticos, SLA y CSAT. Producto consulta uso, carbono y tokens GenAI. Operación necesita conocer completitud, rechazos, latencia y resultado de cada reprocesamiento.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4766"/>
        <w:gridCol w:w="3946"/>
      </w:tblGrid>
      <w:tr>
        <w:trPr>
          <w:cantSplit/>
          <w:tblHeader/>
        </w:trPr>
        <w:tc>
          <w:tcPr>
            <w:tcW w:type="dxa" w:w="15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476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Meta propuesta</w:t>
            </w:r>
          </w:p>
        </w:tc>
        <w:tc>
          <w:tcPr>
            <w:tcW w:type="dxa" w:w="39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Cómo se comprobará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O1 Completitud</w:t>
            </w:r>
          </w:p>
        </w:tc>
        <w:tc>
          <w:tcPr>
            <w:tcW w:type="dxa" w:w="476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100 % clasificado como aceptado, rechazado o duplicado</w:t>
            </w:r>
          </w:p>
        </w:tc>
        <w:tc>
          <w:tcPr>
            <w:tcW w:type="dxa" w:w="39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Balance por fuente y run_id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O2 Idempotencia</w:t>
            </w:r>
          </w:p>
        </w:tc>
        <w:tc>
          <w:tcPr>
            <w:tcW w:type="dxa" w:w="476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0 event_id repetidos después de replay</w:t>
            </w:r>
          </w:p>
        </w:tc>
        <w:tc>
          <w:tcPr>
            <w:tcW w:type="dxa" w:w="39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Conteos antes y después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O3 Calidad</w:t>
            </w:r>
          </w:p>
        </w:tc>
        <w:tc>
          <w:tcPr>
            <w:tcW w:type="dxa" w:w="476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Al menos 3 reglas con motivo y conteo</w:t>
            </w:r>
          </w:p>
        </w:tc>
        <w:tc>
          <w:tcPr>
            <w:tcW w:type="dxa" w:w="39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Quarantine y flags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O4 Frescura</w:t>
            </w:r>
          </w:p>
        </w:tc>
        <w:tc>
          <w:tcPr>
            <w:tcW w:type="dxa" w:w="476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Silver durable en ≤ 5 min desde arrival_ts</w:t>
            </w:r>
          </w:p>
        </w:tc>
        <w:tc>
          <w:tcPr>
            <w:tcW w:type="dxa" w:w="39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silver_processed_ts menos arrival_ts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O5 Conciliación</w:t>
            </w:r>
          </w:p>
        </w:tc>
        <w:tc>
          <w:tcPr>
            <w:tcW w:type="dxa" w:w="476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Costo Silver igual a Gold al mismo corte</w:t>
            </w:r>
          </w:p>
        </w:tc>
        <w:tc>
          <w:tcPr>
            <w:tcW w:type="dxa" w:w="39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Tolerancia de redondeo documentada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O6 Consumo</w:t>
            </w:r>
          </w:p>
        </w:tc>
        <w:tc>
          <w:tcPr>
            <w:tcW w:type="dxa" w:w="476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2 consultas en E2 y 5 en la final</w:t>
            </w:r>
          </w:p>
        </w:tc>
        <w:tc>
          <w:tcPr>
            <w:tcW w:type="dxa" w:w="39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CQL y resultados en Cassandra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O7 Reproducibilidad</w:t>
            </w:r>
          </w:p>
        </w:tc>
        <w:tc>
          <w:tcPr>
            <w:tcW w:type="dxa" w:w="476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Exploración ejecutable desde entorno limpio</w:t>
            </w:r>
          </w:p>
        </w:tc>
        <w:tc>
          <w:tcPr>
            <w:tcW w:type="dxa" w:w="394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Notebook, perfil y versiones</w:t>
            </w:r>
          </w:p>
        </w:tc>
      </w:tr>
    </w:tbl>
    <w:p>
      <w:pPr>
        <w:pStyle w:val="Heading1"/>
      </w:pPr>
      <w:r>
        <w:t>2 Justificación mediante las 5V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043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9"/>
              </w:rPr>
              <w:t>V</w:t>
            </w:r>
          </w:p>
        </w:tc>
        <w:tc>
          <w:tcPr>
            <w:tcW w:type="dxa" w:w="90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9"/>
              </w:rPr>
              <w:t>Evidencia y decisión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Volumen</w:t>
            </w:r>
          </w:p>
        </w:tc>
        <w:tc>
          <w:tcPr>
            <w:tcW w:type="dxa" w:w="90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Muestra de 13,24 MB; escala productiva supuesta. Parquet, partición gruesa y compactación evitan multiplicar archivos pequeños.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Velocidad</w:t>
            </w:r>
          </w:p>
        </w:tc>
        <w:tc>
          <w:tcPr>
            <w:tcW w:type="dxa" w:w="90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El caso exige near real-time. Captura incremental y publicación en micro-lotes; la muestra no mide throughput real.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Variedad</w:t>
            </w:r>
          </w:p>
        </w:tc>
        <w:tc>
          <w:tcPr>
            <w:tcW w:type="dxa" w:w="90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Siete CSV y eventos JSONL v1/v2. Esquemas explícitos, casts y compatibilidad en Silver.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Veracidad</w:t>
            </w:r>
          </w:p>
        </w:tc>
        <w:tc>
          <w:tcPr>
            <w:tcW w:type="dxa" w:w="90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Nulos, tipos ambiguos, costos negativos y FX dudoso. Reglas, flags, quarantine y trazabilidad.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Valor</w:t>
            </w:r>
          </w:p>
        </w:tc>
        <w:tc>
          <w:tcPr>
            <w:tcW w:type="dxa" w:w="90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Marts FinOps, Soporte y Producto con granos definidos y serving orientado a consultas.</w:t>
            </w:r>
          </w:p>
        </w:tc>
      </w:tr>
    </w:tbl>
    <w:p>
      <w:pPr>
        <w:spacing w:before="80"/>
      </w:pPr>
      <w:r>
        <w:rPr>
          <w:b w:val="0"/>
        </w:rPr>
        <w:t>Escala ilustrativa: 100.000 recursos × 1.440 eventos/día × 300 bytes ≈ 43,2 GB/día; 90 días ≈ 3,9 TB sin compresión. Es un supuesto para justificar escalabilidad, no una medición ni un dimensionamiento definitivo.</w:t>
      </w:r>
    </w:p>
    <w:p>
      <w:r>
        <w:br w:type="page"/>
      </w:r>
    </w:p>
    <w:p>
      <w:pPr>
        <w:pStyle w:val="Heading1"/>
      </w:pPr>
      <w:r>
        <w:t>3 Inventario y perfil de las fuentes</w:t>
      </w:r>
    </w:p>
    <w:p>
      <w:r>
        <w:rPr>
          <w:b w:val="0"/>
        </w:rPr>
        <w:t>El dataset es una foto estática. Las frecuencias siguientes son supuestos del diseño. Todas las fuentes se relacionan por org_id y los eventos también por resource_id; no se detectaron claves huérfanas.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9"/>
        <w:gridCol w:w="1512"/>
        <w:gridCol w:w="5112"/>
        <w:gridCol w:w="1224"/>
      </w:tblGrid>
      <w:tr>
        <w:trPr>
          <w:cantSplit/>
          <w:tblHeader/>
        </w:trPr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Fuente</w:t>
            </w:r>
          </w:p>
        </w:tc>
        <w:tc>
          <w:tcPr>
            <w:tcW w:type="dxa" w:w="15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Filas / campos</w:t>
            </w:r>
          </w:p>
        </w:tc>
        <w:tc>
          <w:tcPr>
            <w:tcW w:type="dxa" w:w="51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Grano y clave</w:t>
            </w:r>
          </w:p>
        </w:tc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Llegada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customers_orgs</w:t>
            </w:r>
          </w:p>
        </w:tc>
        <w:tc>
          <w:tcPr>
            <w:tcW w:type="dxa" w:w="15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80 / 11</w:t>
            </w:r>
          </w:p>
        </w:tc>
        <w:tc>
          <w:tcPr>
            <w:tcW w:type="dxa" w:w="51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Organización / org_id</w:t>
            </w:r>
          </w:p>
        </w:tc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Diaria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15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800 / 7</w:t>
            </w:r>
          </w:p>
        </w:tc>
        <w:tc>
          <w:tcPr>
            <w:tcW w:type="dxa" w:w="51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Usuario / user_id</w:t>
            </w:r>
          </w:p>
        </w:tc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Diaria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resources</w:t>
            </w:r>
          </w:p>
        </w:tc>
        <w:tc>
          <w:tcPr>
            <w:tcW w:type="dxa" w:w="15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400 / 7</w:t>
            </w:r>
          </w:p>
        </w:tc>
        <w:tc>
          <w:tcPr>
            <w:tcW w:type="dxa" w:w="51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Recurso / resource_id</w:t>
            </w:r>
          </w:p>
        </w:tc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Diaria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support_tickets</w:t>
            </w:r>
          </w:p>
        </w:tc>
        <w:tc>
          <w:tcPr>
            <w:tcW w:type="dxa" w:w="15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1.000 / 8</w:t>
            </w:r>
          </w:p>
        </w:tc>
        <w:tc>
          <w:tcPr>
            <w:tcW w:type="dxa" w:w="51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Ticket / ticket_id</w:t>
            </w:r>
          </w:p>
        </w:tc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Diaria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marketing_touches</w:t>
            </w:r>
          </w:p>
        </w:tc>
        <w:tc>
          <w:tcPr>
            <w:tcW w:type="dxa" w:w="15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1.500 / 7</w:t>
            </w:r>
          </w:p>
        </w:tc>
        <w:tc>
          <w:tcPr>
            <w:tcW w:type="dxa" w:w="51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Interacción / touch_id</w:t>
            </w:r>
          </w:p>
        </w:tc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Diaria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nps_surveys</w:t>
            </w:r>
          </w:p>
        </w:tc>
        <w:tc>
          <w:tcPr>
            <w:tcW w:type="dxa" w:w="15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92 / 4</w:t>
            </w:r>
          </w:p>
        </w:tc>
        <w:tc>
          <w:tcPr>
            <w:tcW w:type="dxa" w:w="51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Encuesta / org_id + survey_date</w:t>
            </w:r>
          </w:p>
        </w:tc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Diaria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billing_monthly</w:t>
            </w:r>
          </w:p>
        </w:tc>
        <w:tc>
          <w:tcPr>
            <w:tcW w:type="dxa" w:w="15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240 / 8</w:t>
            </w:r>
          </w:p>
        </w:tc>
        <w:tc>
          <w:tcPr>
            <w:tcW w:type="dxa" w:w="51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Factura org y mes / invoice_id</w:t>
            </w:r>
          </w:p>
        </w:tc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Mensual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usage_events_stream</w:t>
            </w:r>
          </w:p>
        </w:tc>
        <w:tc>
          <w:tcPr>
            <w:tcW w:type="dxa" w:w="15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43.200 / 13</w:t>
            </w:r>
          </w:p>
        </w:tc>
        <w:tc>
          <w:tcPr>
            <w:tcW w:type="dxa" w:w="511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Medición / event_id</w:t>
            </w:r>
          </w:p>
        </w:tc>
        <w:tc>
          <w:tcPr>
            <w:tcW w:type="dxa" w:w="12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Incremental</w:t>
            </w:r>
          </w:p>
        </w:tc>
      </w:tr>
    </w:tbl>
    <w:p>
      <w:pPr>
        <w:spacing w:before="80"/>
      </w:pPr>
      <w:r>
        <w:rPr>
          <w:b w:val="0"/>
        </w:rPr>
        <w:t>Eventos: 120 JSONL, 12.927.515 bytes, del 03/07 al 31/08/2025 y 720 eventos por día. Los siete CSV suman 307.906 bytes. Billing abarca junio, julio y agosto; junio no tiene eventos para conciliar. Los 13 campos de eventos son el superset de negocio, sin contar _corrupt_record técnico.</w:t>
      </w:r>
    </w:p>
    <w:p>
      <w:pPr>
        <w:pStyle w:val="Heading2"/>
      </w:pPr>
      <w:r>
        <w:t>Tipos y evolución del esquema</w:t>
      </w:r>
    </w:p>
    <w:p>
      <w:r>
        <w:rPr>
          <w:b w:val="0"/>
        </w:rPr>
        <w:t>La lectura inicial conserva los CSV como texto; eventos usan esquema superset defensivo. El contrato tipado prevé claves y categorías string, fechas date o timestamp UTC, booleanos de estado, value/costos/carbono double, schema_version int y genai_tokens long. Facturación usa decimal(12,2) y FX decimal(12,6); tags_json se parsea a array&lt;string&gt;. El diccionario completo está en 02_inventario_fuentes.md y el esquema de lectura en src/common/schemas.py.</w:t>
      </w:r>
    </w:p>
    <w:p>
      <w:r>
        <w:rPr>
          <w:b w:val="0"/>
        </w:rPr>
        <w:t>Hay 10.800 eventos v1 y 32.400 v2. Desde el 18/07/2025 aparece carbon_kg; genai_tokens está en 3.132 eventos v2 de GenAI. En v1 los campos nuevos se conservan NULL: su ausencia no equivale a consumo cero.</w:t>
      </w:r>
    </w:p>
    <w:p>
      <w:pPr>
        <w:pStyle w:val="Heading2"/>
      </w:pPr>
      <w:r>
        <w:t>Hallazgos que condicionan el diseño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8"/>
        <w:gridCol w:w="4435"/>
        <w:gridCol w:w="4334"/>
      </w:tblGrid>
      <w:tr>
        <w:trPr>
          <w:cantSplit/>
          <w:tblHeader/>
        </w:trPr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Área</w:t>
            </w:r>
          </w:p>
        </w:tc>
        <w:tc>
          <w:tcPr>
            <w:tcW w:type="dxa" w:w="443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Evidencia medida</w:t>
            </w:r>
          </w:p>
        </w:tc>
        <w:tc>
          <w:tcPr>
            <w:tcW w:type="dxa" w:w="43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Tratamiento propuesto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Eventos</w:t>
            </w:r>
          </w:p>
        </w:tc>
        <w:tc>
          <w:tcPr>
            <w:tcW w:type="dxa" w:w="443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877 value nulos; 1.309 numéricos como texto; 2.075 unit nulos</w:t>
            </w:r>
          </w:p>
        </w:tc>
        <w:tc>
          <w:tcPr>
            <w:tcW w:type="dxa" w:w="43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Cast controlado; flag de faltantes; imputar unit por metric.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Claves y tiempo</w:t>
            </w:r>
          </w:p>
        </w:tc>
        <w:tc>
          <w:tcPr>
            <w:tcW w:type="dxa" w:w="443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0 event_id duplicados; 14 colisiones contextuales; 7.371 eventos previos al alta del recurso</w:t>
            </w:r>
          </w:p>
        </w:tc>
        <w:tc>
          <w:tcPr>
            <w:tcW w:type="dxa" w:w="43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Dedupe por event_id; flag temporal, sin borrar observaciones.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Costos</w:t>
            </w:r>
          </w:p>
        </w:tc>
        <w:tc>
          <w:tcPr>
            <w:tcW w:type="dxa" w:w="443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216 negativos, de ellos 211 &lt; -0,01; 34 spikes con el umbral exploratorio</w:t>
            </w:r>
          </w:p>
        </w:tc>
        <w:tc>
          <w:tcPr>
            <w:tcW w:type="dxa" w:w="43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Preservar negativos y marcar anomalías; umbral final por validar.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Maestros y soporte</w:t>
            </w:r>
          </w:p>
        </w:tc>
        <w:tc>
          <w:tcPr>
            <w:tcW w:type="dxa" w:w="443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232 logins previos al alta; 40 CSAT fuera de [1,5]; 85 recursos pii:true</w:t>
            </w:r>
          </w:p>
        </w:tc>
        <w:tc>
          <w:tcPr>
            <w:tcW w:type="dxa" w:w="43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Reglas de consistencia; CSAT válido; acceso y exclusión de PII de marts.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Billing y NPS</w:t>
            </w:r>
          </w:p>
        </w:tc>
        <w:tc>
          <w:tcPr>
            <w:tcW w:type="dxa" w:w="443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13 subtotales negativos con impuestos positivos; FX de USD ≠ 1; escalas NPS ambiguas</w:t>
            </w:r>
          </w:p>
        </w:tc>
        <w:tc>
          <w:tcPr>
            <w:tcW w:type="dxa" w:w="43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Conservar originales; contrato contable y escalas aún abiertos.</w:t>
            </w:r>
          </w:p>
        </w:tc>
      </w:tr>
    </w:tbl>
    <w:p>
      <w:pPr>
        <w:spacing w:before="80"/>
      </w:pPr>
      <w:r>
        <w:rPr>
          <w:b w:val="0"/>
        </w:rPr>
        <w:t>Trazabilidad: source_file, clave natural, versión de esquema/regla y run_id permiten recorrer un agregado de Gold hacia los eventos de Silver, su origen Bronze y el archivo original. Los hashes de los 127 archivos de Landing permiten comprobar que permanecen inmutables.</w:t>
      </w:r>
    </w:p>
    <w:p>
      <w:r>
        <w:br w:type="page"/>
      </w:r>
    </w:p>
    <w:p>
      <w:pPr>
        <w:pStyle w:val="Heading1"/>
      </w:pPr>
      <w:r>
        <w:t>4 Arquitectura híbrida y flujos</w:t>
      </w:r>
    </w:p>
    <w:p>
      <w:r>
        <w:rPr>
          <w:b w:val="0"/>
        </w:rPr>
        <w:t>El patrón híbrido combina batch diario o mensual para maestros y facturación con Structured Streaming para eventos. Una Kappa pura agrega complejidad a snapshots y cierres mensuales; una Lambda con dos implementaciones de la misma transformación aumenta el costo de mantenimiento. Compartimos la conformación de Silver y reconciliamos el histórico por batch.</w:t>
      </w:r>
    </w:p>
    <w:p>
      <w:r>
        <w:drawing>
          <wp:inline xmlns:a="http://schemas.openxmlformats.org/drawingml/2006/main" xmlns:pic="http://schemas.openxmlformats.org/drawingml/2006/picture">
            <wp:extent cx="6519672" cy="3911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9672" cy="3911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Figura 1. Arquitectura propuesta v1.1, 05/10/2026. El repositorio implementa exploración; los componentes de ingesta productiva, transformación y serving están diseñados para E2 y la final.</w:t>
      </w:r>
    </w:p>
    <w:p>
      <w:pPr>
        <w:pStyle w:val="Heading2"/>
      </w:pPr>
      <w:r>
        <w:t>Flujo batch</w:t>
      </w:r>
    </w:p>
    <w:p>
      <w:r>
        <w:rPr>
          <w:b w:val="0"/>
        </w:rPr>
        <w:t>CSV → PySpark con header, escape de comillas y esquema defensivo → Bronze tipificado → Silver normalizado y unido a dimensiones → Gold por dominio → carga en Cassandra/AstraDB → consultas. Maestros pequeños como snapshots sin particionar; SCD se incorporará si la necesidad temporal lo justifica.</w:t>
      </w:r>
    </w:p>
    <w:p>
      <w:pPr>
        <w:pStyle w:val="Heading2"/>
      </w:pPr>
      <w:r>
        <w:t>Flujo streaming y datos tardíos</w:t>
      </w:r>
    </w:p>
    <w:p>
      <w:r>
        <w:rPr>
          <w:b w:val="0"/>
        </w:rPr>
        <w:t>JSONL → esquema superset, source_file y checkpoint por query → Bronze sin filtro temporal → Silver con casts, dedupe por event_id, joins y flags → ventanas operativas de 5 min con watermark propuesto de 24 h → Gold provisional. El batch diario reconstruye el histórico con todos los eventos conservados en Bronze.</w:t>
      </w:r>
    </w:p>
    <w:p>
      <w:r>
        <w:rPr>
          <w:b w:val="0"/>
        </w:rPr>
        <w:t>Cada archivo mezcla casi 60 días. La simulación de un archivo por micro-lote clasifica 42.118 eventos como tardíos con 24 h. No es una prueba real de descarte de Spark. Por eso las ventanas no serán el histórico canónico; E2 comparará replay original y replay ordenado derivado, sin modificar Landing.</w:t>
      </w:r>
    </w:p>
    <w:p>
      <w:r>
        <w:br w:type="page"/>
      </w:r>
    </w:p>
    <w:p>
      <w:pPr>
        <w:pStyle w:val="Heading1"/>
      </w:pPr>
      <w:r>
        <w:t>5 Contrato del Data Lake</w:t>
      </w:r>
    </w:p>
    <w:p>
      <w:r>
        <w:rPr>
          <w:b w:val="0"/>
        </w:rPr>
        <w:t>Todas las rutas dependen de DATALAKE_ROOT, usan snake_case y fechas UTC. Las particiones se eligen por tiempo y tamaño observado; no por event_id ni por cada organización. Servicio se mantiene como columna hasta justificar otra partición.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8"/>
        <w:gridCol w:w="2419"/>
        <w:gridCol w:w="3096"/>
        <w:gridCol w:w="3614"/>
      </w:tblGrid>
      <w:tr>
        <w:trPr>
          <w:cantSplit/>
          <w:tblHeader/>
        </w:trPr>
        <w:tc>
          <w:tcPr>
            <w:tcW w:type="dxa" w:w="11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Zona</w:t>
            </w:r>
          </w:p>
        </w:tc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Grano y formato</w:t>
            </w:r>
          </w:p>
        </w:tc>
        <w:tc>
          <w:tcPr>
            <w:tcW w:type="dxa" w:w="309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Partición y nombre</w:t>
            </w:r>
          </w:p>
        </w:tc>
        <w:tc>
          <w:tcPr>
            <w:tcW w:type="dxa" w:w="36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Promoción</w:t>
            </w:r>
          </w:p>
        </w:tc>
      </w:tr>
      <w:tr>
        <w:trPr>
          <w:cantSplit/>
        </w:trPr>
        <w:tc>
          <w:tcPr>
            <w:tcW w:type="dxa" w:w="11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Landing</w:t>
            </w:r>
          </w:p>
        </w:tc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CSV y JSONL originales</w:t>
            </w:r>
          </w:p>
        </w:tc>
        <w:tc>
          <w:tcPr>
            <w:tcW w:type="dxa" w:w="309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Nombres originales</w:t>
            </w:r>
          </w:p>
        </w:tc>
        <w:tc>
          <w:tcPr>
            <w:tcW w:type="dxa" w:w="36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Validar manifest/hash; solo lectura.</w:t>
            </w:r>
          </w:p>
        </w:tc>
      </w:tr>
      <w:tr>
        <w:trPr>
          <w:cantSplit/>
        </w:trPr>
        <w:tc>
          <w:tcPr>
            <w:tcW w:type="dxa" w:w="11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Bronze</w:t>
            </w:r>
          </w:p>
        </w:tc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Parquet tipificado al grano de origen</w:t>
            </w:r>
          </w:p>
        </w:tc>
        <w:tc>
          <w:tcPr>
            <w:tcW w:type="dxa" w:w="309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events/dt=YYYY-MM-DD; maestros sin partición</w:t>
            </w:r>
          </w:p>
        </w:tc>
        <w:tc>
          <w:tcPr>
            <w:tcW w:type="dxa" w:w="36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Casts controlados, metadatos y balance.</w:t>
            </w:r>
          </w:p>
        </w:tc>
      </w:tr>
      <w:tr>
        <w:trPr>
          <w:cantSplit/>
        </w:trPr>
        <w:tc>
          <w:tcPr>
            <w:tcW w:type="dxa" w:w="11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Silver</w:t>
            </w:r>
          </w:p>
        </w:tc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Parquet; evento único o dimensión</w:t>
            </w:r>
          </w:p>
        </w:tc>
        <w:tc>
          <w:tcPr>
            <w:tcW w:type="dxa" w:w="309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usage_events/dt=...; batch pequeño sin partición</w:t>
            </w:r>
          </w:p>
        </w:tc>
        <w:tc>
          <w:tcPr>
            <w:tcW w:type="dxa" w:w="36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Claves, joins, nulos y flags conformes.</w:t>
            </w:r>
          </w:p>
        </w:tc>
      </w:tr>
      <w:tr>
        <w:trPr>
          <w:cantSplit/>
        </w:trPr>
        <w:tc>
          <w:tcPr>
            <w:tcW w:type="dxa" w:w="11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Gold</w:t>
            </w:r>
          </w:p>
        </w:tc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Parquet; org/día/servicio u org/mes</w:t>
            </w:r>
          </w:p>
        </w:tc>
        <w:tc>
          <w:tcPr>
            <w:tcW w:type="dxa" w:w="309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org_daily_usage_by_service/dt=...; revenue/month=...</w:t>
            </w:r>
          </w:p>
        </w:tc>
        <w:tc>
          <w:tcPr>
            <w:tcW w:type="dxa" w:w="36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Validar grano, conciliación y controles.</w:t>
            </w:r>
          </w:p>
        </w:tc>
      </w:tr>
      <w:tr>
        <w:trPr>
          <w:cantSplit/>
        </w:trPr>
        <w:tc>
          <w:tcPr>
            <w:tcW w:type="dxa" w:w="11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Quarantine</w:t>
            </w:r>
          </w:p>
        </w:tc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Parquet; registro inválido</w:t>
            </w:r>
          </w:p>
        </w:tc>
        <w:tc>
          <w:tcPr>
            <w:tcW w:type="dxa" w:w="309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source=.../dt=...; rule_id como columna</w:t>
            </w:r>
          </w:p>
        </w:tc>
        <w:tc>
          <w:tcPr>
            <w:tcW w:type="dxa" w:w="36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Revisión y replay con nueva regla.</w:t>
            </w:r>
          </w:p>
        </w:tc>
      </w:tr>
      <w:tr>
        <w:trPr>
          <w:cantSplit/>
        </w:trPr>
        <w:tc>
          <w:tcPr>
            <w:tcW w:type="dxa" w:w="11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Checkpoints</w:t>
            </w:r>
          </w:p>
        </w:tc>
        <w:tc>
          <w:tcPr>
            <w:tcW w:type="dxa" w:w="24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Estado de Spark por query</w:t>
            </w:r>
          </w:p>
        </w:tc>
        <w:tc>
          <w:tcPr>
            <w:tcW w:type="dxa" w:w="309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_checkpoints/query_id/</w:t>
            </w:r>
          </w:p>
        </w:tc>
        <w:tc>
          <w:tcPr>
            <w:tcW w:type="dxa" w:w="36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Exclusivo por query y versión.</w:t>
            </w:r>
          </w:p>
        </w:tc>
      </w:tr>
    </w:tbl>
    <w:p>
      <w:pPr>
        <w:pStyle w:val="Heading2"/>
      </w:pPr>
      <w:r>
        <w:t>Metadatos y promoción</w:t>
      </w:r>
    </w:p>
    <w:p>
      <w:r>
        <w:rPr>
          <w:b w:val="0"/>
        </w:rPr>
        <w:t>Desde Bronze: source_file, ingest_ts UTC, arrival_ts, run_id o batch_id y schema_version en eventos; en Silver se agrega silver_processed_ts. Catálogo por tabla con dueño propuesto, clave, grano, tipos, regla y linaje. El manifest registra archivos/hash y conteos de entrada, aceptados, rechazados y duplicados, más la salida durable.</w:t>
      </w:r>
    </w:p>
    <w:p>
      <w:r>
        <w:rPr>
          <w:b w:val="0"/>
        </w:rPr>
        <w:t>Cast inválido o clave ausente → quarantine con rule_id, reason y origen. Unit nulo → imputación por metric y flag. Value nulo → flag, sin sumarlo como consumo conocido. Costos negativos y fechas inconsistentes → preservar y marcar. Referencia a dimensión ausente → quarantine o estado pendiente explícito. Solo se promueve si cierran balances y controles de clave.</w:t>
      </w:r>
    </w:p>
    <w:p>
      <w:pPr>
        <w:pStyle w:val="Heading2"/>
      </w:pPr>
      <w:r>
        <w:t>Idempotencia y recuperación propuestas</w:t>
      </w:r>
    </w:p>
    <w:p>
      <w:r>
        <w:rPr>
          <w:b w:val="0"/>
        </w:rPr>
        <w:t>Parquet del prototipo requiere escritor único, staging por run_id/batch_id, manifest de lotes completados, dedupe por event_id y reemplazo controlado de las particiones afectadas. Se validará la recuperación tras fallos antes de confirmar una salida. foreachBatch y el checkpoint no garantizan por sí solos la idempotencia del destino; Parquet no tiene merge transaccional. Un formato transaccional es alternativa futura.</w:t>
      </w:r>
    </w:p>
    <w:p>
      <w:pPr>
        <w:pStyle w:val="Heading2"/>
      </w:pPr>
      <w:r>
        <w:t>Retención y archivos pequeños</w:t>
      </w:r>
    </w:p>
    <w:p>
      <w:r>
        <w:rPr>
          <w:b w:val="0"/>
        </w:rPr>
        <w:t>Prototipo: conservar todas las zonas, manifests y evidencia hasta finalizar la evaluación, sin borrado automático. Escenario productivo a aprobar: Landing/Bronze 90 días, Silver 180 días, Gold 24 meses y quarantine 30 días desde resolución, manteniendo pendientes. Checkpoints mientras la query esté activa y 30 días tras retirarla. Revisar PII, acceso y necesidades contables antes de adoptar esta política.</w:t>
      </w:r>
    </w:p>
    <w:p>
      <w:r>
        <w:rPr>
          <w:b w:val="0"/>
        </w:rPr>
        <w:t>Compactar por fecha al publicar y reconciliar. El objetivo futuro de 128–256 MiB por archivo es orientativo; no se fuerza sobre una muestra de 13 MB. Las dimensiones pequeñas se guardan sin particiones para evitar archivos mínimos.</w:t>
      </w:r>
    </w:p>
    <w:p>
      <w:pPr>
        <w:pStyle w:val="Heading2"/>
      </w:pPr>
      <w:r>
        <w:t>Gobierno y decisiones de negocio</w:t>
      </w:r>
    </w:p>
    <w:p>
      <w:r>
        <w:rPr>
          <w:b w:val="0"/>
        </w:rPr>
        <w:t>Mínimo acceso, catálogo y linaje; métricas de filas, rechazos y latencia por corrida. Emails y tags personales quedan fuera de marts; las futuras credenciales se obtienen del entorno y nunca se versionan. FX, créditos e impuestos se conservan crudos. Toda estimación contable se etiqueta como provisional hasta cerrar su semántica.</w:t>
      </w:r>
    </w:p>
    <w:p>
      <w:r>
        <w:br w:type="page"/>
      </w:r>
    </w:p>
    <w:p>
      <w:pPr>
        <w:pStyle w:val="Heading1"/>
      </w:pPr>
      <w:r>
        <w:t>6 Flujo batch con lógica MapReduce</w:t>
      </w:r>
    </w:p>
    <w:p>
      <w:r>
        <w:rPr>
          <w:b w:val="0"/>
        </w:rPr>
        <w:t>Referencia: costo y requests diarios por organización y servicio, a partir de Silver conforme y previamente deduplicado por event_id.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0"/>
        <w:gridCol w:w="8957"/>
      </w:tblGrid>
      <w:tr>
        <w:trPr>
          <w:cantSplit/>
          <w:tblHeader/>
        </w:trPr>
        <w:tc>
          <w:tcPr>
            <w:tcW w:type="dxa" w:w="131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9"/>
              </w:rPr>
              <w:t>Etapa</w:t>
            </w:r>
          </w:p>
        </w:tc>
        <w:tc>
          <w:tcPr>
            <w:tcW w:type="dxa" w:w="89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9"/>
              </w:rPr>
              <w:t>Transformación conceptual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Map</w:t>
            </w:r>
          </w:p>
        </w:tc>
        <w:tc>
          <w:tcPr>
            <w:tcW w:type="dxa" w:w="89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K = (org_id, fecha UTC de event_ts, service). V = (cost_usd_increment, requests válidos si metric=requests, número de requests conocidos, cantidad de eventos).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Combiner</w:t>
            </w:r>
          </w:p>
        </w:tc>
        <w:tc>
          <w:tcPr>
            <w:tcW w:type="dxa" w:w="89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Sumas parciales por K; conservar el contador de observaciones. No mezclar requests, cpu_hours y storage_gb_hours.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Shuffle</w:t>
            </w:r>
          </w:p>
        </w:tc>
        <w:tc>
          <w:tcPr>
            <w:tcW w:type="dxa" w:w="89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Reunir todos los valores de la misma clave org, fecha y servicio.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Reduce</w:t>
            </w:r>
          </w:p>
        </w:tc>
        <w:tc>
          <w:tcPr>
            <w:tcW w:type="dxa" w:w="89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Sumar costos, requests conocidos y contadores. Si no hay requests válidos, requests=NULL. Añadir indicadores de calidad.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Salida</w:t>
            </w:r>
          </w:p>
        </w:tc>
        <w:tc>
          <w:tcPr>
            <w:tcW w:type="dxa" w:w="89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9"/>
              </w:rPr>
              <w:t>Una fila por K en org_daily_usage_by_service. Conciliar costo con Silver al mismo corte; replay no debe volver a sumar eventos.</w:t>
            </w:r>
          </w:p>
        </w:tc>
      </w:tr>
    </w:tbl>
    <w:p>
      <w:pPr>
        <w:spacing w:before="80"/>
      </w:pPr>
      <w:r>
        <w:rPr>
          <w:b w:val="0"/>
        </w:rPr>
        <w:t>Equivalente PySpark: select y casts → dedupe por event_id → groupBy(org_id, fecha, service).agg(...) → validación → write Parquet por dt. La E1 exige la lógica conceptual, no un job Hadoop ejecutado.</w:t>
      </w:r>
    </w:p>
    <w:p>
      <w:pPr>
        <w:pStyle w:val="Heading1"/>
      </w:pPr>
      <w:r>
        <w:t>7 Matriz de requisitos y componentes</w:t>
      </w:r>
    </w:p>
    <w:p>
      <w:r>
        <w:rPr>
          <w:b w:val="0"/>
        </w:rPr>
        <w:t>Numeración de la consigna §5.2. “Diseño” identifica propuestas; “evidencia” identifica resultados de exploración ya registrados.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088"/>
        <w:gridCol w:w="1498"/>
        <w:gridCol w:w="2923"/>
        <w:gridCol w:w="3211"/>
      </w:tblGrid>
      <w:tr>
        <w:trPr>
          <w:cantSplit/>
          <w:tblHeader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000000"/>
                <w:sz w:val="17"/>
              </w:rPr>
              <w:t>N.º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7"/>
              </w:rPr>
              <w:t>Requisito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7"/>
              </w:rPr>
              <w:t>5V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7"/>
              </w:rPr>
              <w:t>Componente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7"/>
              </w:rPr>
              <w:t>Ubicación y estado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Problema y objetivos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Valor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Marts y objetivos O1–O7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§1; evidencia futura de consultas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Justificación 5V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Todas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Decisiones por escala, ritmo y calidad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§2; perfil de fuentes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Inventario y perfil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Variedad / veracidad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Schemas, diccionario y exploración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§3; notebook y perfil JSON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Arquitectura completa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Todas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Fuentes a consumo y transversales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§4; arquitectura v1.1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Patrón justificado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Velocidad / variedad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Híbrido batch y streaming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§4; decisión de diseño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Mapeo requisito y 5V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Todas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Esta matriz trazable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§7; relación requisito–componente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Contrato del lago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Volumen / veracidad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Zonas, Parquet, metadatos y promoción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§5; contrato propuesto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Flujos y herramientas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Velocidad / variedad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PySpark y Structured Streaming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§4; flujos propuestos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Batch MapReduce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Valor / volumen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Map, combiner, shuffle y reduce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§6; lógica conceptual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Supuestos y riesgos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Todas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Controles y mitigaciones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§8; DECISIONS.md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Esfuerzo y recursos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Todas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Roles y estimación preliminar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§8; plan inicial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20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Base de ingeniería</w:t>
            </w:r>
          </w:p>
        </w:tc>
        <w:tc>
          <w:tcPr>
            <w:tcW w:type="dxa" w:w="149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Todas</w:t>
            </w:r>
          </w:p>
        </w:tc>
        <w:tc>
          <w:tcPr>
            <w:tcW w:type="dxa" w:w="292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README, muestras, configuración</w:t>
            </w:r>
          </w:p>
        </w:tc>
        <w:tc>
          <w:tcPr>
            <w:tcW w:type="dxa" w:w="321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7"/>
              </w:rPr>
              <w:t>§9; repositorio y evidencia</w:t>
            </w:r>
          </w:p>
        </w:tc>
      </w:tr>
    </w:tbl>
    <w:p>
      <w:pPr>
        <w:spacing w:before="80"/>
      </w:pPr>
      <w:r>
        <w:rPr>
          <w:b w:val="0"/>
        </w:rPr>
        <w:t>Los cinco artefactos de §5.3 quedan cubiertos por este documento, el repositorio, el diagrama editable, esta matriz y el plan de §8. La lista de comprobación de §9.1 de la consigna se detalla en el archivo LEER_PRIMERO_ENTREGA.txt.</w:t>
      </w:r>
    </w:p>
    <w:p>
      <w:r>
        <w:br w:type="page"/>
      </w:r>
    </w:p>
    <w:p>
      <w:pPr>
        <w:pStyle w:val="Heading1"/>
      </w:pPr>
      <w:r>
        <w:t>8 Plan inicial y riesgos</w:t>
      </w:r>
    </w:p>
    <w:p>
      <w:r>
        <w:rPr>
          <w:b w:val="0"/>
        </w:rPr>
        <w:t>Los roles son propuestos; la asignación nominal se definirá en la revisión del equipo. La estimación corresponde al cierre de E1; el esfuerzo de implementación se ajustará con el feedback y el backlog de E2.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9"/>
        <w:gridCol w:w="2218"/>
        <w:gridCol w:w="922"/>
        <w:gridCol w:w="3629"/>
      </w:tblGrid>
      <w:tr>
        <w:trPr>
          <w:cantSplit/>
          <w:tblHeader/>
        </w:trPr>
        <w:tc>
          <w:tcPr>
            <w:tcW w:type="dxa" w:w="349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Trabajo</w:t>
            </w:r>
          </w:p>
        </w:tc>
        <w:tc>
          <w:tcPr>
            <w:tcW w:type="dxa" w:w="221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Rol propuesto</w:t>
            </w:r>
          </w:p>
        </w:tc>
        <w:tc>
          <w:tcPr>
            <w:tcW w:type="dxa" w:w="92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Esfuerzo</w:t>
            </w:r>
          </w:p>
        </w:tc>
        <w:tc>
          <w:tcPr>
            <w:tcW w:type="dxa" w:w="362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49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Revisar diseño, matriz y diagrama</w:t>
            </w:r>
          </w:p>
        </w:tc>
        <w:tc>
          <w:tcPr>
            <w:tcW w:type="dxa" w:w="221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Arquitectura y revisión</w:t>
            </w:r>
          </w:p>
        </w:tc>
        <w:tc>
          <w:tcPr>
            <w:tcW w:type="dxa" w:w="92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2 h</w:t>
            </w:r>
          </w:p>
        </w:tc>
        <w:tc>
          <w:tcPr>
            <w:tcW w:type="dxa" w:w="362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Documento consistente</w:t>
            </w:r>
          </w:p>
        </w:tc>
      </w:tr>
      <w:tr>
        <w:trPr>
          <w:cantSplit/>
        </w:trPr>
        <w:tc>
          <w:tcPr>
            <w:tcW w:type="dxa" w:w="349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Cerrar contratos y documentar dudas</w:t>
            </w:r>
          </w:p>
        </w:tc>
        <w:tc>
          <w:tcPr>
            <w:tcW w:type="dxa" w:w="221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92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2 h</w:t>
            </w:r>
          </w:p>
        </w:tc>
        <w:tc>
          <w:tcPr>
            <w:tcW w:type="dxa" w:w="362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Decisiones FX, signos y escalas</w:t>
            </w:r>
          </w:p>
        </w:tc>
      </w:tr>
      <w:tr>
        <w:trPr>
          <w:cantSplit/>
        </w:trPr>
        <w:tc>
          <w:tcPr>
            <w:tcW w:type="dxa" w:w="349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Reproducir exploración y conservar evidencia</w:t>
            </w:r>
          </w:p>
        </w:tc>
        <w:tc>
          <w:tcPr>
            <w:tcW w:type="dxa" w:w="221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Ingeniería</w:t>
            </w:r>
          </w:p>
        </w:tc>
        <w:tc>
          <w:tcPr>
            <w:tcW w:type="dxa" w:w="92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2 h</w:t>
            </w:r>
          </w:p>
        </w:tc>
        <w:tc>
          <w:tcPr>
            <w:tcW w:type="dxa" w:w="362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Notebook, log y perfil</w:t>
            </w:r>
          </w:p>
        </w:tc>
      </w:tr>
      <w:tr>
        <w:trPr>
          <w:cantSplit/>
        </w:trPr>
        <w:tc>
          <w:tcPr>
            <w:tcW w:type="dxa" w:w="349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Preparar explicación de flujos y MapReduce</w:t>
            </w:r>
          </w:p>
        </w:tc>
        <w:tc>
          <w:tcPr>
            <w:tcW w:type="dxa" w:w="221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Procesamiento y defensa</w:t>
            </w:r>
          </w:p>
        </w:tc>
        <w:tc>
          <w:tcPr>
            <w:tcW w:type="dxa" w:w="92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2 h</w:t>
            </w:r>
          </w:p>
        </w:tc>
        <w:tc>
          <w:tcPr>
            <w:tcW w:type="dxa" w:w="362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Recorrido técnico de E1</w:t>
            </w:r>
          </w:p>
        </w:tc>
      </w:tr>
      <w:tr>
        <w:trPr>
          <w:cantSplit/>
        </w:trPr>
        <w:tc>
          <w:tcPr>
            <w:tcW w:type="dxa" w:w="349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Verificar corte, acceso y envío</w:t>
            </w:r>
          </w:p>
        </w:tc>
        <w:tc>
          <w:tcPr>
            <w:tcW w:type="dxa" w:w="221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Representante a definir</w:t>
            </w:r>
          </w:p>
        </w:tc>
        <w:tc>
          <w:tcPr>
            <w:tcW w:type="dxa" w:w="92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1 h</w:t>
            </w:r>
          </w:p>
        </w:tc>
        <w:tc>
          <w:tcPr>
            <w:tcW w:type="dxa" w:w="362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Constancia de recepción</w:t>
            </w:r>
          </w:p>
        </w:tc>
      </w:tr>
    </w:tbl>
    <w:p>
      <w:pPr>
        <w:spacing w:before="80"/>
      </w:pPr>
      <w:r>
        <w:rPr>
          <w:b w:val="0"/>
        </w:rPr>
        <w:t>Total preliminar: 9 horas-persona de revisión y cierre. Recursos: Python 3.11, Java 17, PySpark 3.5.3, editor y almacenamiento local para ZIP/Parquet. Colab es alternativa pendiente de validar. E1 no requiere cluster ni crear una cuenta de AstraDB.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1800"/>
        <w:gridCol w:w="4176"/>
        <w:gridCol w:w="2160"/>
      </w:tblGrid>
      <w:tr>
        <w:trPr>
          <w:cantSplit/>
          <w:tblHeader/>
        </w:trPr>
        <w:tc>
          <w:tcPr>
            <w:tcW w:type="dxa" w:w="21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Riesgo</w:t>
            </w:r>
          </w:p>
        </w:tc>
        <w:tc>
          <w:tcPr>
            <w:tcW w:type="dxa" w:w="1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Probabilidad / impacto</w:t>
            </w:r>
          </w:p>
        </w:tc>
        <w:tc>
          <w:tcPr>
            <w:tcW w:type="dxa" w:w="41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Mitigación</w:t>
            </w:r>
          </w:p>
        </w:tc>
        <w:tc>
          <w:tcPr>
            <w:tcW w:type="dxa" w:w="21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0" w:before="0" w:line="240" w:lineRule="auto"/>
            </w:pPr>
            <w:r>
              <w:rPr>
                <w:b/>
                <w:color w:val="000000"/>
                <w:sz w:val="18"/>
              </w:rPr>
              <w:t>Rol propuesto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Late data</w:t>
            </w:r>
          </w:p>
        </w:tc>
        <w:tc>
          <w:tcPr>
            <w:tcW w:type="dxa" w:w="1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Alta / alto</w:t>
            </w:r>
          </w:p>
        </w:tc>
        <w:tc>
          <w:tcPr>
            <w:tcW w:type="dxa" w:w="41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Bronze completo y reconciliación histórica</w:t>
            </w:r>
          </w:p>
        </w:tc>
        <w:tc>
          <w:tcPr>
            <w:tcW w:type="dxa" w:w="21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Procesamiento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FX, créditos e impuestos</w:t>
            </w:r>
          </w:p>
        </w:tc>
        <w:tc>
          <w:tcPr>
            <w:tcW w:type="dxa" w:w="1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Alta / alto</w:t>
            </w:r>
          </w:p>
        </w:tc>
        <w:tc>
          <w:tcPr>
            <w:tcW w:type="dxa" w:w="41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Conservar originales; comparar alternativas</w:t>
            </w:r>
          </w:p>
        </w:tc>
        <w:tc>
          <w:tcPr>
            <w:tcW w:type="dxa" w:w="21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PII en consumo</w:t>
            </w:r>
          </w:p>
        </w:tc>
        <w:tc>
          <w:tcPr>
            <w:tcW w:type="dxa" w:w="1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Media / alto</w:t>
            </w:r>
          </w:p>
        </w:tc>
        <w:tc>
          <w:tcPr>
            <w:tcW w:type="dxa" w:w="41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Acceso mínimo; excluir PII de marts</w:t>
            </w:r>
          </w:p>
        </w:tc>
        <w:tc>
          <w:tcPr>
            <w:tcW w:type="dxa" w:w="21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Datos y gobierno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CSV y schema drift</w:t>
            </w:r>
          </w:p>
        </w:tc>
        <w:tc>
          <w:tcPr>
            <w:tcW w:type="dxa" w:w="1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Media / alto</w:t>
            </w:r>
          </w:p>
        </w:tc>
        <w:tc>
          <w:tcPr>
            <w:tcW w:type="dxa" w:w="41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Escape, encabezados y campos desconocidos</w:t>
            </w:r>
          </w:p>
        </w:tc>
        <w:tc>
          <w:tcPr>
            <w:tcW w:type="dxa" w:w="21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Ingeniería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Small files</w:t>
            </w:r>
          </w:p>
        </w:tc>
        <w:tc>
          <w:tcPr>
            <w:tcW w:type="dxa" w:w="1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Alta / medio</w:t>
            </w:r>
          </w:p>
        </w:tc>
        <w:tc>
          <w:tcPr>
            <w:tcW w:type="dxa" w:w="41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Partición gruesa y compactación</w:t>
            </w:r>
          </w:p>
        </w:tc>
        <w:tc>
          <w:tcPr>
            <w:tcW w:type="dxa" w:w="21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Arquitectura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Atomicidad Parquet</w:t>
            </w:r>
          </w:p>
        </w:tc>
        <w:tc>
          <w:tcPr>
            <w:tcW w:type="dxa" w:w="1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Media / alto</w:t>
            </w:r>
          </w:p>
        </w:tc>
        <w:tc>
          <w:tcPr>
            <w:tcW w:type="dxa" w:w="41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Escritor único, staging y recuperación</w:t>
            </w:r>
          </w:p>
        </w:tc>
        <w:tc>
          <w:tcPr>
            <w:tcW w:type="dxa" w:w="21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Procesamiento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Entorno o demo</w:t>
            </w:r>
          </w:p>
        </w:tc>
        <w:tc>
          <w:tcPr>
            <w:tcW w:type="dxa" w:w="1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Media / alto</w:t>
            </w:r>
          </w:p>
        </w:tc>
        <w:tc>
          <w:tcPr>
            <w:tcW w:type="dxa" w:w="41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Entorno validado, logs y notebook con salidas</w:t>
            </w:r>
          </w:p>
        </w:tc>
        <w:tc>
          <w:tcPr>
            <w:tcW w:type="dxa" w:w="21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000000"/>
                <w:sz w:val="18"/>
              </w:rPr>
              <w:t>Ingeniería</w:t>
            </w:r>
          </w:p>
        </w:tc>
      </w:tr>
    </w:tbl>
    <w:p>
      <w:pPr>
        <w:spacing w:before="80"/>
      </w:pPr>
      <w:r>
        <w:rPr>
          <w:b w:val="0"/>
        </w:rPr>
        <w:t>Próximos pasos: incorporar feedback con prioridad, responsable, fecha objetivo y evidencia; implementar batch de al menos tres maestros y streaming; conformar Silver, tres reglas y tres features; publicar el mart FinOps y dos consultas en Cassandra/AstraDB. Watermark, atomicidad y semántica contable requieren validación en E2.</w:t>
      </w:r>
    </w:p>
    <w:p>
      <w:pPr>
        <w:pStyle w:val="Heading1"/>
      </w:pPr>
      <w:r>
        <w:t>9 Evidencia y reproducibilidad</w:t>
      </w:r>
    </w:p>
    <w:p>
      <w:r>
        <w:rPr>
          <w:b w:val="0"/>
        </w:rPr>
        <w:t>La evidencia versionada del 02/10 incluye notebook ejecutado, perfil y controles. El 05/10 pasaron las 19 celdas funcionales, en orden y en Python directo, con el dataset completo (43.200 eventos, 120 JSONL) y la muestra (360 eventos, un JSONL). Se usaron Python 3.11.16, Java 17.0.20.1, PySpark 3.5.3, local[2] y UTC, con EVIDENCE_DIR externo en ambos casos. Pasaron cuatro pruebas de regresión.</w:t>
      </w:r>
    </w:p>
    <w:p>
      <w:r>
        <w:rPr>
          <w:b w:val="0"/>
        </w:rPr>
        <w:t>Límites: Colab no probado; no hay pipeline productivo. El runner Jupyter sigue bloqueado por ZeroMQ antes de ejecutar celdas. La muestra permite una prueba de humo de todas las celdas, pero carece de integridad referencial y no reproduce los totales completos. EVIDENCE_DIR admite rutas externas. Los percentiles approxQuantile pueden variar dentro de su error de rango.</w:t>
      </w:r>
    </w:p>
    <w:p>
      <w:r>
        <w:rPr>
          <w:b w:val="0"/>
        </w:rPr>
        <w:t>Reproducción: obtener el ZIP del docente, copiar sus siete CSV y 120 JSONL a datalake/landing, instalar requirements.txt en Python 3.11 con Java 17 y ejecutar python scripts/run_exploration.py. El README incluido detalla instalación, salidas y reinicio. E2 validará streaming real, latencia, checkpoint, idempotencia y serving.</w:t>
      </w:r>
    </w:p>
    <w:p>
      <w:r>
        <w:rPr>
          <w:b w:val="0"/>
        </w:rPr>
        <w:t>Fuentes: consigna v1.0 del 03/08/2026, §§5, 8 y 9.1; repositorio y evidencia del equipo. Procedencia del código base: commit e04b00b3078ec5d26041b849890cfe3807cbb570 de main. Las correcciones y sus resultados del 05/10 se detallan en evidence/entrega1/VERIFICACION_2026-10-05.md.</w:t>
      </w:r>
    </w:p>
    <w:p>
      <w:r>
        <w:rPr>
          <w:b w:val="0"/>
        </w:rPr>
        <w:t>https://github.com/Sstark0/TP-BigData-CloudProviderAnalytics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79" w:bottom="864" w:left="979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Cloud Provider Analytics  |  v1.1  |  05/10/2026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7"/>
      </w:rPr>
      <w:t>ITBA  |  Big Data  |  Primera evaluación parcial  |  2C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1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Provider Analytics Diseño y fundación de datos</dc:title>
  <dc:subject>Primera entrega de Big Data ITBA 2C 2026</dc:subject>
  <dc:creator>Stephanie Amairany Castillo Avendaño; Gianluca Giannine Lizarraga; Agustín Ezequiel Pagani; Tomas Lautaro Reymundo; Antonio Uriel Serrano Jaimes</dc:creator>
  <cp:keywords>Entrega 1, Big Data, ITBA, Cloud Provider 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