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3.4 Evaluacion del modulo OCR</w:t>
      </w:r>
    </w:p>
    <w:p>
      <w:r>
        <w:t>Este reporte evalua el OCR de forma independiente sobre ROI detectadas, usando un conjunto forzado de 1890 imagenes mezcladas entre datasets disponibles.</w:t>
      </w:r>
    </w:p>
    <w:p>
      <w:pPr>
        <w:pStyle w:val="Heading2"/>
      </w:pPr>
      <w:r>
        <w:t>Configuracion de evaluacion</w:t>
      </w:r>
    </w:p>
    <w:p>
      <w:r>
        <w:t>Modelo detector: models\plate_detector_best.pt</w:t>
        <w:br/>
      </w:r>
      <w:r>
        <w:t>Modelo OCR: models/optimized/ocr_crnn_ctc_int8.tflite</w:t>
        <w:br/>
      </w:r>
      <w:r>
        <w:t>Imagenes seleccionadas: 1890</w:t>
        <w:br/>
      </w:r>
      <w:r>
        <w:t>ROI procesadas por OCR (detectadas): 1745</w:t>
        <w:br/>
      </w:r>
      <w:r>
        <w:t>Motor OCR: tesseract</w:t>
        <w:br/>
      </w:r>
    </w:p>
    <w:p>
      <w:pPr>
        <w:pStyle w:val="Heading2"/>
      </w:pPr>
      <w:r>
        <w:t>Resumen por escenario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Escenario</w:t>
            </w:r>
          </w:p>
        </w:tc>
        <w:tc>
          <w:tcPr>
            <w:tcW w:type="dxa" w:w="1234"/>
          </w:tcPr>
          <w:p>
            <w:r>
              <w:t>ROI OCR</w:t>
            </w:r>
          </w:p>
        </w:tc>
        <w:tc>
          <w:tcPr>
            <w:tcW w:type="dxa" w:w="1234"/>
          </w:tcPr>
          <w:p>
            <w:r>
              <w:t>Lecturas completas</w:t>
            </w:r>
          </w:p>
        </w:tc>
        <w:tc>
          <w:tcPr>
            <w:tcW w:type="dxa" w:w="1234"/>
          </w:tcPr>
          <w:p>
            <w:r>
              <w:t>% Completa</w:t>
            </w:r>
          </w:p>
        </w:tc>
        <w:tc>
          <w:tcPr>
            <w:tcW w:type="dxa" w:w="1234"/>
          </w:tcPr>
          <w:p>
            <w:r>
              <w:t>% Caracter</w:t>
            </w:r>
          </w:p>
        </w:tc>
        <w:tc>
          <w:tcPr>
            <w:tcW w:type="dxa" w:w="1234"/>
          </w:tcPr>
          <w:p>
            <w:r>
              <w:t>Invalidas</w:t>
            </w:r>
          </w:p>
        </w:tc>
        <w:tc>
          <w:tcPr>
            <w:tcW w:type="dxa" w:w="1234"/>
          </w:tcPr>
          <w:p>
            <w:r>
              <w:t>Reintentos</w:t>
            </w:r>
          </w:p>
        </w:tc>
      </w:tr>
      <w:tr>
        <w:tc>
          <w:tcPr>
            <w:tcW w:type="dxa" w:w="1234"/>
          </w:tcPr>
          <w:p>
            <w:r>
              <w:t>Frontal</w:t>
            </w:r>
          </w:p>
        </w:tc>
        <w:tc>
          <w:tcPr>
            <w:tcW w:type="dxa" w:w="1234"/>
          </w:tcPr>
          <w:p>
            <w:r>
              <w:t>295</w:t>
            </w:r>
          </w:p>
        </w:tc>
        <w:tc>
          <w:tcPr>
            <w:tcW w:type="dxa" w:w="1234"/>
          </w:tcPr>
          <w:p>
            <w:r>
              <w:t>215</w:t>
            </w:r>
          </w:p>
        </w:tc>
        <w:tc>
          <w:tcPr>
            <w:tcW w:type="dxa" w:w="1234"/>
          </w:tcPr>
          <w:p>
            <w:r>
              <w:t>72.88%</w:t>
            </w:r>
          </w:p>
        </w:tc>
        <w:tc>
          <w:tcPr>
            <w:tcW w:type="dxa" w:w="1234"/>
          </w:tcPr>
          <w:p>
            <w:r>
              <w:t>95.21%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Distancia corta</w:t>
            </w:r>
          </w:p>
        </w:tc>
        <w:tc>
          <w:tcPr>
            <w:tcW w:type="dxa" w:w="1234"/>
          </w:tcPr>
          <w:p>
            <w:r>
              <w:t>262</w:t>
            </w:r>
          </w:p>
        </w:tc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73.28%</w:t>
            </w:r>
          </w:p>
        </w:tc>
        <w:tc>
          <w:tcPr>
            <w:tcW w:type="dxa" w:w="1234"/>
          </w:tcPr>
          <w:p>
            <w:r>
              <w:t>95.86%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Distancia media</w:t>
            </w:r>
          </w:p>
        </w:tc>
        <w:tc>
          <w:tcPr>
            <w:tcW w:type="dxa" w:w="1234"/>
          </w:tcPr>
          <w:p>
            <w:r>
              <w:t>258</w:t>
            </w:r>
          </w:p>
        </w:tc>
        <w:tc>
          <w:tcPr>
            <w:tcW w:type="dxa" w:w="1234"/>
          </w:tcPr>
          <w:p>
            <w:r>
              <w:t>189</w:t>
            </w:r>
          </w:p>
        </w:tc>
        <w:tc>
          <w:tcPr>
            <w:tcW w:type="dxa" w:w="1234"/>
          </w:tcPr>
          <w:p>
            <w:r>
              <w:t>73.26%</w:t>
            </w:r>
          </w:p>
        </w:tc>
        <w:tc>
          <w:tcPr>
            <w:tcW w:type="dxa" w:w="1234"/>
          </w:tcPr>
          <w:p>
            <w:r>
              <w:t>94.80%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6</w:t>
            </w:r>
          </w:p>
        </w:tc>
      </w:tr>
      <w:tr>
        <w:tc>
          <w:tcPr>
            <w:tcW w:type="dxa" w:w="1234"/>
          </w:tcPr>
          <w:p>
            <w:r>
              <w:t>Distancia larga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80.00%</w:t>
            </w:r>
          </w:p>
        </w:tc>
        <w:tc>
          <w:tcPr>
            <w:tcW w:type="dxa" w:w="1234"/>
          </w:tcPr>
          <w:p>
            <w:r>
              <w:t>96.90%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</w:tbl>
    <w:p>
      <w:pPr>
        <w:pStyle w:val="Heading2"/>
      </w:pPr>
      <w:r>
        <w:t>Graficas principales</w:t>
      </w:r>
    </w:p>
    <w:p>
      <w:r>
        <w:drawing>
          <wp:inline xmlns:a="http://schemas.openxmlformats.org/drawingml/2006/main" xmlns:pic="http://schemas.openxmlformats.org/drawingml/2006/picture">
            <wp:extent cx="59436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_fig_34_exactitud_por_escen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495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_fig_35_matriz_confusion_caracte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_fig_36_invalidas_reinten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476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_fig_37_confianza_por_escen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64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_fig_38_exactitud_por_posi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Exactitud por posicion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Posicion</w:t>
            </w:r>
          </w:p>
        </w:tc>
        <w:tc>
          <w:tcPr>
            <w:tcW w:type="dxa" w:w="2160"/>
          </w:tcPr>
          <w:p>
            <w:r>
              <w:t>Correctos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1728</w:t>
            </w:r>
          </w:p>
        </w:tc>
        <w:tc>
          <w:tcPr>
            <w:tcW w:type="dxa" w:w="2160"/>
          </w:tcPr>
          <w:p>
            <w:r>
              <w:t>1745</w:t>
            </w:r>
          </w:p>
        </w:tc>
        <w:tc>
          <w:tcPr>
            <w:tcW w:type="dxa" w:w="2160"/>
          </w:tcPr>
          <w:p>
            <w:r>
              <w:t>99.03%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1665</w:t>
            </w:r>
          </w:p>
        </w:tc>
        <w:tc>
          <w:tcPr>
            <w:tcW w:type="dxa" w:w="2160"/>
          </w:tcPr>
          <w:p>
            <w:r>
              <w:t>1745</w:t>
            </w:r>
          </w:p>
        </w:tc>
        <w:tc>
          <w:tcPr>
            <w:tcW w:type="dxa" w:w="2160"/>
          </w:tcPr>
          <w:p>
            <w:r>
              <w:t>95.42%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1654</w:t>
            </w:r>
          </w:p>
        </w:tc>
        <w:tc>
          <w:tcPr>
            <w:tcW w:type="dxa" w:w="2160"/>
          </w:tcPr>
          <w:p>
            <w:r>
              <w:t>1745</w:t>
            </w:r>
          </w:p>
        </w:tc>
        <w:tc>
          <w:tcPr>
            <w:tcW w:type="dxa" w:w="2160"/>
          </w:tcPr>
          <w:p>
            <w:r>
              <w:t>94.79%</w:t>
            </w:r>
          </w:p>
        </w:tc>
      </w:tr>
      <w:tr>
        <w:tc>
          <w:tcPr>
            <w:tcW w:type="dxa" w:w="2160"/>
          </w:tcPr>
          <w:p>
            <w:r>
              <w:t>N1</w:t>
            </w:r>
          </w:p>
        </w:tc>
        <w:tc>
          <w:tcPr>
            <w:tcW w:type="dxa" w:w="2160"/>
          </w:tcPr>
          <w:p>
            <w:r>
              <w:t>1641</w:t>
            </w:r>
          </w:p>
        </w:tc>
        <w:tc>
          <w:tcPr>
            <w:tcW w:type="dxa" w:w="2160"/>
          </w:tcPr>
          <w:p>
            <w:r>
              <w:t>1745</w:t>
            </w:r>
          </w:p>
        </w:tc>
        <w:tc>
          <w:tcPr>
            <w:tcW w:type="dxa" w:w="2160"/>
          </w:tcPr>
          <w:p>
            <w:r>
              <w:t>94.04%</w:t>
            </w:r>
          </w:p>
        </w:tc>
      </w:tr>
      <w:tr>
        <w:tc>
          <w:tcPr>
            <w:tcW w:type="dxa" w:w="2160"/>
          </w:tcPr>
          <w:p>
            <w:r>
              <w:t>N2</w:t>
            </w:r>
          </w:p>
        </w:tc>
        <w:tc>
          <w:tcPr>
            <w:tcW w:type="dxa" w:w="2160"/>
          </w:tcPr>
          <w:p>
            <w:r>
              <w:t>1692</w:t>
            </w:r>
          </w:p>
        </w:tc>
        <w:tc>
          <w:tcPr>
            <w:tcW w:type="dxa" w:w="2160"/>
          </w:tcPr>
          <w:p>
            <w:r>
              <w:t>1745</w:t>
            </w:r>
          </w:p>
        </w:tc>
        <w:tc>
          <w:tcPr>
            <w:tcW w:type="dxa" w:w="2160"/>
          </w:tcPr>
          <w:p>
            <w:r>
              <w:t>96.96%</w:t>
            </w:r>
          </w:p>
        </w:tc>
      </w:tr>
      <w:tr>
        <w:tc>
          <w:tcPr>
            <w:tcW w:type="dxa" w:w="2160"/>
          </w:tcPr>
          <w:p>
            <w:r>
              <w:t>N3</w:t>
            </w:r>
          </w:p>
        </w:tc>
        <w:tc>
          <w:tcPr>
            <w:tcW w:type="dxa" w:w="2160"/>
          </w:tcPr>
          <w:p>
            <w:r>
              <w:t>1692</w:t>
            </w:r>
          </w:p>
        </w:tc>
        <w:tc>
          <w:tcPr>
            <w:tcW w:type="dxa" w:w="2160"/>
          </w:tcPr>
          <w:p>
            <w:r>
              <w:t>1745</w:t>
            </w:r>
          </w:p>
        </w:tc>
        <w:tc>
          <w:tcPr>
            <w:tcW w:type="dxa" w:w="2160"/>
          </w:tcPr>
          <w:p>
            <w:r>
              <w:t>96.96%</w:t>
            </w:r>
          </w:p>
        </w:tc>
      </w:tr>
      <w:tr>
        <w:tc>
          <w:tcPr>
            <w:tcW w:type="dxa" w:w="2160"/>
          </w:tcPr>
          <w:p>
            <w:r>
              <w:t>N4</w:t>
            </w:r>
          </w:p>
        </w:tc>
        <w:tc>
          <w:tcPr>
            <w:tcW w:type="dxa" w:w="2160"/>
          </w:tcPr>
          <w:p>
            <w:r>
              <w:t>1591</w:t>
            </w:r>
          </w:p>
        </w:tc>
        <w:tc>
          <w:tcPr>
            <w:tcW w:type="dxa" w:w="2160"/>
          </w:tcPr>
          <w:p>
            <w:r>
              <w:t>1745</w:t>
            </w:r>
          </w:p>
        </w:tc>
        <w:tc>
          <w:tcPr>
            <w:tcW w:type="dxa" w:w="2160"/>
          </w:tcPr>
          <w:p>
            <w:r>
              <w:t>91.17%</w:t>
            </w:r>
          </w:p>
        </w:tc>
      </w:tr>
    </w:tbl>
    <w:p>
      <w:pPr>
        <w:pStyle w:val="Heading2"/>
      </w:pPr>
      <w:r>
        <w:t>Errores tipicos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Caracter real</w:t>
            </w:r>
          </w:p>
        </w:tc>
        <w:tc>
          <w:tcPr>
            <w:tcW w:type="dxa" w:w="2160"/>
          </w:tcPr>
          <w:p>
            <w:r>
              <w:t>Caracter predicho</w:t>
            </w:r>
          </w:p>
        </w:tc>
        <w:tc>
          <w:tcPr>
            <w:tcW w:type="dxa" w:w="2160"/>
          </w:tcPr>
          <w:p>
            <w:r>
              <w:t>Conteo</w:t>
            </w:r>
          </w:p>
        </w:tc>
        <w:tc>
          <w:tcPr>
            <w:tcW w:type="dxa" w:w="2160"/>
          </w:tcPr>
          <w:p>
            <w:r>
              <w:t>% sobre errores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39.86%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14.67%</w:t>
            </w:r>
          </w:p>
        </w:tc>
      </w:tr>
      <w:tr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11.78%</w:t>
            </w:r>
          </w:p>
        </w:tc>
      </w:tr>
      <w:tr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8.70%</w:t>
            </w:r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3.80%</w:t>
            </w:r>
          </w:p>
        </w:tc>
      </w:tr>
      <w:tr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2.36%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1.63%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1.45%</w:t>
            </w:r>
          </w:p>
        </w:tc>
      </w:tr>
      <w:tr>
        <w:tc>
          <w:tcPr>
            <w:tcW w:type="dxa" w:w="2160"/>
          </w:tcPr>
          <w:p>
            <w:r>
              <w:t>J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1.45%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1.09%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0.54%</w:t>
            </w:r>
          </w:p>
        </w:tc>
      </w:tr>
      <w:tr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0.54%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0.54%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0.54%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0.36%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0.36%</w:t>
            </w:r>
          </w:p>
        </w:tc>
      </w:tr>
      <w:tr>
        <w:tc>
          <w:tcPr>
            <w:tcW w:type="dxa" w:w="2160"/>
          </w:tcPr>
          <w:p>
            <w:r>
              <w:t>J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0.36%</w:t>
            </w:r>
          </w:p>
        </w:tc>
      </w:tr>
      <w:tr>
        <w:tc>
          <w:tcPr>
            <w:tcW w:type="dxa" w:w="2160"/>
          </w:tcPr>
          <w:p>
            <w:r>
              <w:t>U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0.36%</w:t>
            </w:r>
          </w:p>
        </w:tc>
      </w:tr>
      <w:tr>
        <w:tc>
          <w:tcPr>
            <w:tcW w:type="dxa" w:w="2160"/>
          </w:tcPr>
          <w:p>
            <w:r>
              <w:t>U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0.36%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0.36%</w:t>
            </w:r>
          </w:p>
        </w:tc>
      </w:tr>
    </w:tbl>
    <w:p>
      <w:pPr>
        <w:pStyle w:val="Heading2"/>
      </w:pPr>
      <w:r>
        <w:t>Rendimiento OCR</w:t>
      </w:r>
    </w:p>
    <w:p>
      <w:r>
        <w:t>Latencia OCR promedio por ROI: 923.48 ms</w:t>
        <w:br/>
        <w:t>Latencia OCR p95: 1115.44 ms</w:t>
        <w:br/>
        <w:t>Confianza OCR promedio: 0.002</w:t>
      </w:r>
    </w:p>
    <w:p>
      <w:pPr>
        <w:pStyle w:val="Heading2"/>
      </w:pPr>
      <w:r>
        <w:t>Ejemplos visuales de escenarios criticos</w:t>
      </w:r>
    </w:p>
    <w:p>
      <w:r>
        <w:drawing>
          <wp:inline xmlns:a="http://schemas.openxmlformats.org/drawingml/2006/main" xmlns:pic="http://schemas.openxmlformats.org/drawingml/2006/picture">
            <wp:extent cx="5486400" cy="21063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mplo_01_Front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1063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mplo_02_Fron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1063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mplo_03_Front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1063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mplo_04_Front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63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