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Informe Pipeline ALPR (3.5)</w:t>
      </w:r>
    </w:p>
    <w:p>
      <w:r>
        <w:t>Total frames evaluated: 1978</w:t>
      </w:r>
    </w:p>
    <w:p>
      <w:r>
        <w:t>Placas detectadas: 1971 (99.65%)</w:t>
      </w:r>
    </w:p>
    <w:p>
      <w:r>
        <w:t>ROI enviadas a OCR: 1971 (99.65%)</w:t>
      </w:r>
    </w:p>
    <w:p>
      <w:r>
        <w:t>Lecturas OCR generadas: 1833 (92.67%)</w:t>
      </w:r>
    </w:p>
    <w:p>
      <w:r>
        <w:t>Lecturas con formato válido: 1827 (92.37%)</w:t>
      </w:r>
    </w:p>
    <w:p>
      <w:r>
        <w:t>Lecturas completas correctas: 1360 (68.76%)</w:t>
      </w:r>
    </w:p>
    <w:p>
      <w:r>
        <w:t>Caracteres correctos / total: 12259/12831 (95.54%)</w:t>
      </w:r>
    </w:p>
    <w:p>
      <w:r>
        <w:t>Gráficas:</w:t>
      </w:r>
    </w:p>
    <w:p>
      <w:r>
        <w:t>C:\Users\santi\OneDrive\Escritorio\Dataset\Intento2\reportes\resultados_metricas_20260607\graficas_pipeline\funnel_pipeline.png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nel_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C:\Users\santi\OneDrive\Escritorio\Dataset\Intento2\reportes\resultados_metricas_20260607\graficas_pipeline\errors_by_stage.png</w:t>
      </w:r>
    </w:p>
    <w:p>
      <w:r>
        <w:drawing>
          <wp:inline xmlns:a="http://schemas.openxmlformats.org/drawingml/2006/main" xmlns:pic="http://schemas.openxmlformats.org/drawingml/2006/picture">
            <wp:extent cx="4572000" cy="457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rs_by_st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C:\Users\santi\OneDrive\Escritorio\Dataset\Intento2\reportes\resultados_metricas_20260607\graficas_pipeline\latency_compare.png</w:t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ompa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