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ВОЗМОЖНЫХ</w:t>
      </w:r>
      <w:r>
        <w:t xml:space="preserve"> </w:t>
      </w:r>
      <w:r>
        <w:t xml:space="preserve">ЗАТРАТАХ</w:t>
      </w:r>
      <w:r>
        <w:t xml:space="preserve"> </w:t>
      </w:r>
      <w:r>
        <w:t xml:space="preserve">НА</w:t>
      </w:r>
      <w:r>
        <w:t xml:space="preserve"> </w:t>
      </w:r>
      <w:r>
        <w:t xml:space="preserve">ЗАПУСК</w:t>
      </w:r>
      <w:r>
        <w:t xml:space="preserve"> </w:t>
      </w:r>
      <w:r>
        <w:t xml:space="preserve">ПРОМЫШЛЕННОГО</w:t>
      </w:r>
      <w:r>
        <w:t xml:space="preserve"> </w:t>
      </w:r>
      <w:r>
        <w:t xml:space="preserve">ПРОИЗВОДСТВА</w:t>
      </w:r>
      <w:r>
        <w:t xml:space="preserve"> </w:t>
      </w:r>
      <w:r>
        <w:t xml:space="preserve">В</w:t>
      </w:r>
      <w:r>
        <w:t xml:space="preserve"> </w:t>
      </w:r>
      <w:r>
        <w:t xml:space="preserve">ГОРОДЕ</w:t>
      </w:r>
      <w:r>
        <w:t xml:space="preserve"> </w:t>
      </w:r>
      <w:r>
        <w:t xml:space="preserve">МОСКВЕ</w:t>
      </w:r>
    </w:p>
    <w:p>
      <w:pPr>
        <w:pStyle w:val="1"/>
      </w:pPr>
      <w:bookmarkStart w:id="21" w:name="приветственное-слово"/>
      <w:bookmarkEnd w:id="21"/>
      <w:r>
        <w:t xml:space="preserve">ПРИВЕТСТВЕННОЕ СЛОВО</w:t>
      </w:r>
    </w:p>
    <w:p>
      <w:pPr>
        <w:pStyle w:val="FirstParagraph"/>
      </w:pPr>
      <w:r>
        <w:t xml:space="preserve">Спасибо, что воспользовались электронным сервисом</w:t>
      </w:r>
      <w:r>
        <w:br w:type="textWrapping"/>
      </w:r>
      <w:r>
        <w:t xml:space="preserve">«Инвестиционный калькулятор города Москвы»!</w:t>
      </w:r>
      <w:r>
        <w:br w:type="textWrapping"/>
      </w:r>
      <w:r>
        <w:t xml:space="preserve">Мы надеемся, что предоставленная возможность предварительного расчета расходов на содержание персонала организации, размещение промышленных объектов на территории города Москвы, а также необходимые регистрационные и прочие услуги была полезна для Вас.</w:t>
      </w:r>
      <w:r>
        <w:br w:type="textWrapping"/>
      </w:r>
      <w:r>
        <w:t xml:space="preserve">Сегодня Москва является ведущим промышленным регионом России, где работает более 3 500 производственных предприятий, продукция которых экспортируется в 186 стран мира. Правительство Москвы предоставляет более 150 мер государственной поддержки промышленным организациям, с которыми можно подробно ознакомиться и подать соответствующую заявку в специализированном разделе Инвестиционного портала города Москвы.</w:t>
      </w:r>
      <w:r>
        <w:br w:type="textWrapping"/>
      </w:r>
      <w:r>
        <w:t xml:space="preserve">Вы также можете получить льготные условия для ведения промышленной деятельности, получив статус резидента особой экономической зоны «Технополис Москва».</w:t>
      </w:r>
      <w:r>
        <w:br w:type="textWrapping"/>
      </w:r>
      <w:r>
        <w:t xml:space="preserve">Мы убеждены, что вместе с Вами сможем открыть новые горизонты современной отечественной промышленности!</w:t>
      </w:r>
    </w:p>
    <w:p>
      <w:pPr>
        <w:pStyle w:val="5"/>
      </w:pPr>
      <w:bookmarkStart w:id="22" w:name="обзор-предварительных-расходов"/>
      <w:bookmarkEnd w:id="22"/>
      <w:r>
        <w:t xml:space="preserve">ОБЗОР ПРЕДВАРИТЕЛЬНЫХ РАСХОДОВ</w:t>
      </w:r>
    </w:p>
    <w:p>
      <w:pPr>
        <w:pStyle w:val="1"/>
      </w:pPr>
      <w:bookmarkStart w:id="23" w:name="информация-о-вашей-организации"/>
      <w:bookmarkEnd w:id="23"/>
      <w:r>
        <w:t xml:space="preserve">ИНФОРМАЦИЯ О ВАШЕЙ ОРГАНИЗАЦИИ</w:t>
      </w:r>
    </w:p>
    <w:p>
      <w:pPr>
        <w:pStyle w:val="4"/>
      </w:pPr>
      <w:bookmarkStart w:id="24" w:name="отрасль-производство-кокса-и-нефтепродуктов"/>
      <w:bookmarkEnd w:id="24"/>
      <w:r>
        <w:t xml:space="preserve">ОТРАСЛЬ: Производство кокса и нефтепродуктов</w:t>
      </w:r>
    </w:p>
    <w:p>
      <w:pPr>
        <w:pStyle w:val="4"/>
      </w:pPr>
      <w:bookmarkStart w:id="25" w:name="тип-организации-ооо"/>
      <w:bookmarkEnd w:id="25"/>
      <w:r>
        <w:t xml:space="preserve">ТИП ОРГАНИЗАЦИИ: ООО</w:t>
      </w:r>
    </w:p>
    <w:p>
      <w:pPr>
        <w:pStyle w:val="4"/>
      </w:pPr>
      <w:bookmarkStart w:id="26" w:name="количество-сотрудников-150-человек"/>
      <w:bookmarkEnd w:id="26"/>
      <w:r>
        <w:t xml:space="preserve">КОЛИЧЕСТВО СОТРУДНИКОВ: 150 человек</w:t>
      </w:r>
    </w:p>
    <w:p>
      <w:pPr>
        <w:pStyle w:val="4"/>
      </w:pPr>
      <w:bookmarkStart w:id="27" w:name="район-расположения-производства-восточный-округ"/>
      <w:bookmarkEnd w:id="27"/>
      <w:r>
        <w:t xml:space="preserve">РАЙОН РАСПОЛОЖЕНИЯ ПРОИЗВОДСТВА: Восточный округ</w:t>
      </w:r>
    </w:p>
    <w:p>
      <w:pPr>
        <w:pStyle w:val="4"/>
      </w:pPr>
      <w:bookmarkStart w:id="28" w:name="section"/>
      <w:bookmarkEnd w:id="28"/>
    </w:p>
    <w:p>
      <w:pPr>
        <w:pStyle w:val="4"/>
      </w:pPr>
      <w:bookmarkStart w:id="29" w:name="section-1"/>
      <w:bookmarkEnd w:id="29"/>
    </w:p>
    <w:p>
      <w:pPr>
        <w:pStyle w:val="4"/>
      </w:pPr>
      <w:bookmarkStart w:id="30" w:name="section-2"/>
      <w:bookmarkEnd w:id="30"/>
    </w:p>
    <w:p>
      <w:pPr>
        <w:pStyle w:val="1"/>
      </w:pPr>
      <w:bookmarkStart w:id="31" w:name="итоговые-значения-возможных-затрат"/>
      <w:bookmarkEnd w:id="31"/>
      <w:r>
        <w:t xml:space="preserve">ИТОГОВЫЕ ЗНАЧЕНИЯ ВОЗМОЖНЫХ ЗАТРАТ</w:t>
      </w:r>
    </w:p>
    <w:p>
      <w:pPr>
        <w:pStyle w:val="4"/>
      </w:pPr>
      <w:bookmarkStart w:id="32" w:name="итого-возможных-расходов-от-780.5-до-1009-млн.руб"/>
      <w:bookmarkEnd w:id="32"/>
      <w:r>
        <w:t xml:space="preserve">ИТОГО ВОЗМОЖНЫХ РАСХОДОВ: от 780.5 до 1009 млн.руб</w:t>
      </w:r>
    </w:p>
    <w:p>
      <w:pPr>
        <w:pStyle w:val="4"/>
      </w:pPr>
      <w:bookmarkStart w:id="33" w:name="персонал-от-322.7-до-388.8-млн.руб"/>
      <w:bookmarkEnd w:id="33"/>
      <w:r>
        <w:t xml:space="preserve">ПЕРСОНАЛ: от 322.7 до 388.8 млн.руб</w:t>
      </w:r>
    </w:p>
    <w:p>
      <w:pPr>
        <w:pStyle w:val="4"/>
      </w:pPr>
      <w:bookmarkStart w:id="34" w:name="аренда-от-320-до-480-млн.руб"/>
      <w:bookmarkEnd w:id="34"/>
      <w:r>
        <w:t xml:space="preserve">АРЕНДА: от 320 до 480 млн.руб</w:t>
      </w:r>
    </w:p>
    <w:p>
      <w:pPr>
        <w:pStyle w:val="4"/>
      </w:pPr>
      <w:bookmarkStart w:id="35" w:name="налоги-от-65.4-до-67.8-млн.руб"/>
      <w:bookmarkEnd w:id="35"/>
      <w:r>
        <w:t xml:space="preserve">НАЛОГИ: от 65.4 до 67.8 млн.руб</w:t>
      </w:r>
    </w:p>
    <w:p>
      <w:pPr>
        <w:pStyle w:val="4"/>
      </w:pPr>
      <w:bookmarkStart w:id="36" w:name="услуги-0.2-млн.руб"/>
      <w:bookmarkEnd w:id="36"/>
      <w:r>
        <w:t xml:space="preserve">УСЛУГИ: 0.2 млн.руб</w:t>
      </w:r>
    </w:p>
    <w:p>
      <w:pPr>
        <w:pStyle w:val="4"/>
      </w:pPr>
      <w:bookmarkStart w:id="37" w:name="section-3"/>
      <w:bookmarkEnd w:id="37"/>
    </w:p>
    <w:p>
      <w:pPr>
        <w:pStyle w:val="4"/>
      </w:pPr>
      <w:bookmarkStart w:id="38" w:name="section-4"/>
      <w:bookmarkEnd w:id="38"/>
    </w:p>
    <w:p>
      <w:pPr>
        <w:pStyle w:val="4"/>
      </w:pPr>
      <w:bookmarkStart w:id="39" w:name="section-5"/>
      <w:bookmarkEnd w:id="39"/>
    </w:p>
    <w:p>
      <w:pPr>
        <w:pStyle w:val="4"/>
      </w:pPr>
      <w:bookmarkStart w:id="40" w:name="section-6"/>
      <w:bookmarkEnd w:id="40"/>
    </w:p>
    <w:p>
      <w:pPr>
        <w:pStyle w:val="4"/>
      </w:pPr>
      <w:bookmarkStart w:id="41" w:name="section-7"/>
      <w:bookmarkEnd w:id="41"/>
    </w:p>
    <w:p>
      <w:pPr>
        <w:pStyle w:val="4"/>
      </w:pPr>
      <w:bookmarkStart w:id="42" w:name="section-8"/>
      <w:bookmarkEnd w:id="42"/>
    </w:p>
    <w:p>
      <w:pPr>
        <w:pStyle w:val="5"/>
      </w:pPr>
      <w:bookmarkStart w:id="43" w:name="обзор-предварительных-расходов-1"/>
      <w:bookmarkEnd w:id="43"/>
      <w:r>
        <w:t xml:space="preserve">ОБЗОР ПРЕДВАРИТЕЛЬНЫХ РАСХОДОВ</w:t>
      </w:r>
    </w:p>
    <w:p>
      <w:pPr>
        <w:pStyle w:val="1"/>
      </w:pPr>
      <w:bookmarkStart w:id="44" w:name="персонал-организации"/>
      <w:bookmarkEnd w:id="44"/>
      <w:r>
        <w:t xml:space="preserve">ПЕРСОНАЛ ОРГАНИЗАЦИИ</w:t>
      </w:r>
    </w:p>
    <w:p>
      <w:pPr>
        <w:pStyle w:val="4"/>
      </w:pPr>
      <w:bookmarkStart w:id="45" w:name="москва-является-лидирующим-регионом-российской-федерации-с-наибольшим-количеством-экономически-активного-населения.уровень-безработицы-в-столице-один-из-самых-низких-по-стране-и-составляет-менее-1.-специалисты-многих-направлений-заняты-в-самых-разных-областях-деятельности-автомобилестроение-пищевая-промышленность-приборостроение-станкоинструментальная-промышленность-легкая-промышленность-и-другие.-правительство-москвы-способствует-развитию-новых-специальностей-и-компетенций.благодаря-проекту-московская-техническая-школа-вы-можете-подать-заявку-на-обучение-своих-сотрудников-необходимым-профессиональным-навыкам."/>
      <w:bookmarkEnd w:id="45"/>
      <w:r>
        <w:t xml:space="preserve">Москва является лидирующим регионом Российской Федерации с наибольшим количеством экономически активного населения.Уровень безработицы в столице – один из самых низких по стране и составляет менее 1%. Специалисты многих направлений заняты в самых разных областях деятельности: автомобилестроение, пищевая промышленность, приборостроение, станкоинструментальная промышленность, легкая промышленность и другие. Правительство Москвы способствует развитию новых специальностей и компетенций.Благодаря проекту «Московская техническая школа» Вы можете подать заявку на обучение своих сотрудников необходимым профессиональным навыкам.</w:t>
      </w:r>
    </w:p>
    <w:p>
      <w:pPr>
        <w:pStyle w:val="4"/>
      </w:pPr>
      <w:bookmarkStart w:id="46" w:name="section-9"/>
      <w:bookmarkEnd w:id="46"/>
    </w:p>
    <w:p>
      <w:pPr>
        <w:pStyle w:val="4"/>
      </w:pPr>
      <w:bookmarkStart w:id="47" w:name="section-10"/>
      <w:bookmarkEnd w:id="47"/>
    </w:p>
    <w:p>
      <w:pPr>
        <w:pStyle w:val="4"/>
      </w:pPr>
      <w:bookmarkStart w:id="48" w:name="section-11"/>
      <w:bookmarkEnd w:id="48"/>
    </w:p>
    <w:p>
      <w:pPr>
        <w:pStyle w:val="4"/>
      </w:pPr>
      <w:bookmarkStart w:id="49" w:name="итого-возможных-расходов-на-содержание-персонала-организации-от-322.7-до-388.8-млн.руб"/>
      <w:bookmarkEnd w:id="49"/>
      <w:r>
        <w:t xml:space="preserve">ИТОГО ВОЗМОЖНЫХ РАСХОДОВ НА СОДЕРЖАНИЕ ПЕРСОНАЛА ОРГАНИЗАЦИИ: от 322.7 до 388.8 млн.руб</w:t>
      </w:r>
    </w:p>
    <w:p>
      <w:pPr>
        <w:pStyle w:val="4"/>
      </w:pPr>
      <w:bookmarkStart w:id="50" w:name="планируемая-численность-персонала150-человек"/>
      <w:bookmarkEnd w:id="50"/>
      <w:r>
        <w:t xml:space="preserve">ПЛАНИРУЕМАЯ ЧИСЛЕННОСТЬ ПЕРСОНАЛА:150 человек</w:t>
      </w:r>
    </w:p>
    <w:p>
      <w:pPr>
        <w:pStyle w:val="4"/>
      </w:pPr>
      <w:bookmarkStart w:id="51" w:name="страховые-взносы-пенсионное-страхование-от-17.9-до-65.8-млн.руб"/>
      <w:bookmarkEnd w:id="51"/>
      <w:r>
        <w:t xml:space="preserve">СТРАХОВЫЕ ВЗНОСЫ (ПЕНСИОННОЕ СТРАХОВАНИЕ): от 17.9 до 65.8 млн.руб</w:t>
      </w:r>
    </w:p>
    <w:p>
      <w:pPr>
        <w:pStyle w:val="4"/>
      </w:pPr>
      <w:bookmarkStart w:id="52" w:name="страховые-взносы-медицинское-страхование-от-0.3-до-15.3-млн.руб"/>
      <w:bookmarkEnd w:id="52"/>
      <w:r>
        <w:t xml:space="preserve">СТРАХОВЫЕ ВЗНОСЫ (МЕДИЦИНСКОЕ СТРАХОВАНИЕ): от 0.3 до 15.3 млн.руб</w:t>
      </w:r>
    </w:p>
    <w:p>
      <w:pPr>
        <w:pStyle w:val="4"/>
      </w:pPr>
      <w:bookmarkStart w:id="53" w:name="section-12"/>
      <w:bookmarkEnd w:id="53"/>
    </w:p>
    <w:p>
      <w:pPr>
        <w:pStyle w:val="4"/>
      </w:pPr>
      <w:bookmarkStart w:id="54" w:name="section-13"/>
      <w:bookmarkEnd w:id="54"/>
    </w:p>
    <w:p>
      <w:pPr>
        <w:pStyle w:val="5"/>
      </w:pPr>
      <w:bookmarkStart w:id="55" w:name="обзор-предварительных-расходов-2"/>
      <w:bookmarkEnd w:id="55"/>
      <w:r>
        <w:t xml:space="preserve">ОБЗОР ПРЕДВАРИТЕЛЬНЫХ РАСХОДОВ</w:t>
      </w:r>
    </w:p>
    <w:p>
      <w:pPr>
        <w:pStyle w:val="1"/>
      </w:pPr>
      <w:bookmarkStart w:id="56" w:name="аренда"/>
      <w:bookmarkEnd w:id="56"/>
      <w:r>
        <w:t xml:space="preserve">АРЕНДА</w:t>
      </w:r>
    </w:p>
    <w:p>
      <w:pPr>
        <w:pStyle w:val="4"/>
      </w:pPr>
      <w:bookmarkStart w:id="57" w:name="в-2020-году-на-рынке-аренды-коммерческих-помещений-в-москве-наблюдался-спад-из-за-пандемии-covid-19-и-ограничений-связанных-с-карантином.-средняя-цена-аренды-офисных-помещений-в-москве-снизилась-на-10-15-а-цены-на-аренду-торговых-помещений-упали-на-20-30.-однако-в-2021-году-наблюдается-постепенное-восстановление-рынка-аренды-коммерческих-помещений-в-москве.-согласно-отчетам-цены-на-аренду-офисных-помещений-в-москве-в-первом-квартале-2021-года-выросли-на-15-2-а-цены-на-аренду-торговых-помещений-остались-на-уровне-2020-года.-в-целом-рынок-аренды-коммерческих-помещений-в-москве-остается-одним-из-самых-дорогих-и-перспективных-в-россии."/>
      <w:bookmarkEnd w:id="57"/>
      <w:r>
        <w:t xml:space="preserve">В 2020 году на рынке аренды коммерческих помещений в Москве наблюдался спад из-за пандемии COVID-19 и ограничений, связанных с карантином. Средняя цена аренды офисных помещений в Москве снизилась на 10-15%, а цены на аренду торговых помещений упали на 20-30%. Однако, в 2021 году наблюдается постепенное восстановление рынка аренды коммерческих помещений в Москве. Согласно отчетам, цены на аренду офисных помещений в Москве в первом квартале 2021 года выросли на 1,5-2%, а цены на аренду торговых помещений остались на уровне 2020 года. В целом, рынок аренды коммерческих помещений в Москве остается одним из самых дорогих и перспективных в России.</w:t>
      </w:r>
    </w:p>
    <w:p>
      <w:pPr>
        <w:pStyle w:val="4"/>
      </w:pPr>
      <w:bookmarkStart w:id="58" w:name="section-14"/>
      <w:bookmarkEnd w:id="58"/>
    </w:p>
    <w:p>
      <w:pPr>
        <w:pStyle w:val="4"/>
      </w:pPr>
      <w:bookmarkStart w:id="59" w:name="section-15"/>
      <w:bookmarkEnd w:id="59"/>
    </w:p>
    <w:p>
      <w:pPr>
        <w:pStyle w:val="4"/>
      </w:pPr>
      <w:bookmarkStart w:id="60" w:name="section-16"/>
      <w:bookmarkEnd w:id="60"/>
    </w:p>
    <w:p>
      <w:pPr>
        <w:pStyle w:val="4"/>
      </w:pPr>
      <w:bookmarkStart w:id="61" w:name="итого-возможных-расходов-на-аренду-помощений-от-320-до-480-млн.руб"/>
      <w:bookmarkEnd w:id="61"/>
      <w:r>
        <w:t xml:space="preserve">ИТОГО ВОЗМОЖНЫХ РАСХОДОВ НА АРЕНДУ ПОМОЩЕНИЙ: от 320 до 480 млн.руб</w:t>
      </w:r>
    </w:p>
    <w:p>
      <w:pPr>
        <w:pStyle w:val="4"/>
      </w:pPr>
      <w:bookmarkStart w:id="62" w:name="в-том-числежилые-здания"/>
      <w:bookmarkEnd w:id="62"/>
      <w:r>
        <w:t xml:space="preserve">В том числе:Жилые здания</w:t>
      </w:r>
    </w:p>
    <w:p>
      <w:pPr>
        <w:pStyle w:val="4"/>
      </w:pPr>
      <w:bookmarkStart w:id="63" w:name="section-17"/>
      <w:bookmarkEnd w:id="63"/>
    </w:p>
    <w:p>
      <w:pPr>
        <w:pStyle w:val="4"/>
      </w:pPr>
      <w:bookmarkStart w:id="64" w:name="section-18"/>
      <w:bookmarkEnd w:id="64"/>
    </w:p>
    <w:p>
      <w:pPr>
        <w:pStyle w:val="4"/>
      </w:pPr>
      <w:bookmarkStart w:id="65" w:name="section-19"/>
      <w:bookmarkEnd w:id="65"/>
    </w:p>
    <w:p>
      <w:pPr>
        <w:pStyle w:val="4"/>
      </w:pPr>
      <w:bookmarkStart w:id="66" w:name="section-20"/>
      <w:bookmarkEnd w:id="66"/>
    </w:p>
    <w:p>
      <w:pPr>
        <w:pStyle w:val="4"/>
      </w:pPr>
      <w:bookmarkStart w:id="67" w:name="section-21"/>
      <w:bookmarkEnd w:id="67"/>
    </w:p>
    <w:p>
      <w:pPr>
        <w:pStyle w:val="4"/>
      </w:pPr>
      <w:bookmarkStart w:id="68" w:name="section-22"/>
      <w:bookmarkEnd w:id="68"/>
    </w:p>
    <w:p>
      <w:pPr>
        <w:pStyle w:val="4"/>
      </w:pPr>
      <w:bookmarkStart w:id="69" w:name="section-23"/>
      <w:bookmarkEnd w:id="69"/>
    </w:p>
    <w:p>
      <w:pPr>
        <w:pStyle w:val="5"/>
      </w:pPr>
      <w:bookmarkStart w:id="70" w:name="обзор-предварительных-расходов-3"/>
      <w:bookmarkEnd w:id="70"/>
      <w:r>
        <w:t xml:space="preserve">ОБЗОР ПРЕДВАРИТЕЛЬНЫХ РАСХОДОВ</w:t>
      </w:r>
    </w:p>
    <w:p>
      <w:pPr>
        <w:pStyle w:val="1"/>
      </w:pPr>
      <w:bookmarkStart w:id="71" w:name="налоговые-отчисления"/>
      <w:bookmarkEnd w:id="71"/>
      <w:r>
        <w:t xml:space="preserve">НАЛОГОВЫЕ ОТЧИСЛЕНИЯ</w:t>
      </w:r>
    </w:p>
    <w:p>
      <w:pPr>
        <w:pStyle w:val="4"/>
      </w:pPr>
      <w:bookmarkStart w:id="72" w:name="в-2021-году-в-москве-введены-новые-налоговые-льготы-для-предпринимателей-направленные-на-поддержку-малого-и-среднего-бизнеса.-в-частности-с-1-января-2021-года-введена-льгота-по-налогу-на-имущество-для-предприятий-занимающихся-производством-товаров-на-территории-москвы.-также-введены-льготы-по-налогу-на-прибыль-для-предприятий-осуществляющих-инвестиционную-деятельность-в-москве.-в-целом-москва-является-одним-из-наиболее-благоприятных-регионов-для-создания-и-развития-бизнеса-в-россии-благодаря-высокому-уровню-инфраструктуры-доступности-квалифицированных-кадров-и-наличию-различных-налоговых-льгот-для-предпринимателей."/>
      <w:bookmarkEnd w:id="72"/>
      <w:r>
        <w:t xml:space="preserve">В 2021 году в Москве введены новые налоговые льготы для предпринимателей, направленные на поддержку малого и среднего бизнеса. В частности, с 1 января 2021 года введена льгота по налогу на имущество для предприятий, занимающихся производством товаров на территории Москвы. Также введены льготы по налогу на прибыль для предприятий, осуществляющих инвестиционную деятельность в Москве. В целом, Москва является одним из наиболее благоприятных регионов для создания и развития бизнеса в России, благодаря высокому уровню инфраструктуры, доступности квалифицированных кадров и наличию различных налоговых льгот для предпринимателей.</w:t>
      </w:r>
    </w:p>
    <w:p>
      <w:pPr>
        <w:pStyle w:val="4"/>
      </w:pPr>
      <w:bookmarkStart w:id="73" w:name="section-24"/>
      <w:bookmarkEnd w:id="73"/>
    </w:p>
    <w:p>
      <w:pPr>
        <w:pStyle w:val="4"/>
      </w:pPr>
      <w:bookmarkStart w:id="74" w:name="section-25"/>
      <w:bookmarkEnd w:id="74"/>
    </w:p>
    <w:p>
      <w:pPr>
        <w:pStyle w:val="4"/>
      </w:pPr>
      <w:bookmarkStart w:id="75" w:name="section-26"/>
      <w:bookmarkEnd w:id="75"/>
    </w:p>
    <w:p>
      <w:pPr>
        <w:pStyle w:val="4"/>
      </w:pPr>
      <w:bookmarkStart w:id="76" w:name="section-27"/>
      <w:bookmarkEnd w:id="76"/>
    </w:p>
    <w:p>
      <w:pPr>
        <w:pStyle w:val="4"/>
      </w:pPr>
      <w:bookmarkStart w:id="77" w:name="итого-возможных-расходов-на-налоговые-отчисления-от-65.4-до-67.8-млн.руб"/>
      <w:bookmarkEnd w:id="77"/>
      <w:r>
        <w:t xml:space="preserve">ИТОГО ВОЗМОЖНЫХ РАСХОДОВ НА НАЛОГОВЫЕ ОТЧИСЛЕНИЯ: от 65.4 до 67.8 млн.руб</w:t>
      </w:r>
    </w:p>
    <w:p>
      <w:pPr>
        <w:pStyle w:val="4"/>
      </w:pPr>
      <w:bookmarkStart w:id="78" w:name="section-28"/>
      <w:bookmarkEnd w:id="78"/>
    </w:p>
    <w:p>
      <w:pPr>
        <w:pStyle w:val="4"/>
      </w:pPr>
      <w:bookmarkStart w:id="79" w:name="section-29"/>
      <w:bookmarkEnd w:id="79"/>
    </w:p>
    <w:p>
      <w:pPr>
        <w:pStyle w:val="4"/>
      </w:pPr>
      <w:bookmarkStart w:id="80" w:name="section-30"/>
      <w:bookmarkEnd w:id="80"/>
    </w:p>
    <w:p>
      <w:pPr>
        <w:pStyle w:val="4"/>
      </w:pPr>
      <w:bookmarkStart w:id="81" w:name="section-31"/>
      <w:bookmarkEnd w:id="81"/>
    </w:p>
    <w:p>
      <w:pPr>
        <w:pStyle w:val="4"/>
      </w:pPr>
      <w:bookmarkStart w:id="82" w:name="section-32"/>
      <w:bookmarkEnd w:id="82"/>
    </w:p>
    <w:p>
      <w:pPr>
        <w:pStyle w:val="5"/>
      </w:pPr>
      <w:bookmarkStart w:id="83" w:name="обзор-предварительных-расходов-4"/>
      <w:bookmarkEnd w:id="83"/>
      <w:r>
        <w:t xml:space="preserve">ОБЗОР ПРЕДВАРИТЕЛЬНЫХ РАСХОДОВ</w:t>
      </w:r>
    </w:p>
    <w:p>
      <w:pPr>
        <w:pStyle w:val="1"/>
      </w:pPr>
      <w:bookmarkStart w:id="84" w:name="услуги"/>
      <w:bookmarkEnd w:id="84"/>
      <w:r>
        <w:t xml:space="preserve">УСЛУГИ</w:t>
      </w:r>
    </w:p>
    <w:p>
      <w:pPr>
        <w:pStyle w:val="4"/>
      </w:pPr>
      <w:bookmarkStart w:id="85" w:name="москва-предоставляет-ряд-преимуществ-и-услуг-для-бизнеса-при-создании-предприятия.-в-частности-в-москве-действует-единое-окно-для-предоставления-государственных-и-муниципальных-услуг-что-упрощает-процедуру-регистрации-и-создания-предприятия.-также-в-москве-действует-программа-поддержки-малого-и-среднего-бизнеса-которая-включает-в-себя-финансовую-поддержку-консультации-и-обучение-предпринимателей.-в-2021-году-в-москве-введены-новые-меры-поддержки-бизнеса-направленные-на-снижение-административных-барьеров-и-упрощение-процедур.-в-частности-введена-услуга-по-выдаче-электронных-сертификатов-для-предпринимателей-что-позволяет-сократить-время-на-получение-разрешительной-документации."/>
      <w:bookmarkEnd w:id="85"/>
      <w:r>
        <w:t xml:space="preserve">Москва предоставляет ряд преимуществ и услуг для бизнеса при создании предприятия. В частности, в Москве действует единое окно для предоставления государственных и муниципальных услуг, что упрощает процедуру регистрации и создания предприятия. Также в Москве действует программа поддержки малого и среднего бизнеса, которая включает в себя финансовую поддержку, консультации и обучение предпринимателей. В 2021 году в Москве введены новые меры поддержки бизнеса, направленные на снижение административных барьеров и упрощение процедур. В частности, введена услуга по выдаче электронных сертификатов для предпринимателей, что позволяет сократить время на получение разрешительной документации.</w:t>
      </w:r>
    </w:p>
    <w:p>
      <w:pPr>
        <w:pStyle w:val="4"/>
      </w:pPr>
      <w:bookmarkStart w:id="86" w:name="section-33"/>
      <w:bookmarkEnd w:id="86"/>
    </w:p>
    <w:p>
      <w:pPr>
        <w:pStyle w:val="4"/>
      </w:pPr>
      <w:bookmarkStart w:id="87" w:name="section-34"/>
      <w:bookmarkEnd w:id="87"/>
    </w:p>
    <w:p>
      <w:pPr>
        <w:pStyle w:val="4"/>
      </w:pPr>
      <w:bookmarkStart w:id="88" w:name="section-35"/>
      <w:bookmarkEnd w:id="88"/>
    </w:p>
    <w:p>
      <w:pPr>
        <w:pStyle w:val="4"/>
      </w:pPr>
      <w:bookmarkStart w:id="89" w:name="section-36"/>
      <w:bookmarkEnd w:id="89"/>
    </w:p>
    <w:p>
      <w:pPr>
        <w:pStyle w:val="4"/>
      </w:pPr>
      <w:bookmarkStart w:id="90" w:name="итого-возможных-расходов-на-услуги-0.2-млн.руб"/>
      <w:bookmarkEnd w:id="90"/>
      <w:r>
        <w:t xml:space="preserve">ИТОГО ВОЗМОЖНЫХ РАСХОДОВ НА УСЛУГИ: 0.2 млн.руб</w:t>
      </w:r>
    </w:p>
    <w:p>
      <w:pPr>
        <w:pStyle w:val="4"/>
      </w:pPr>
      <w:bookmarkStart w:id="91" w:name="section-37"/>
      <w:bookmarkEnd w:id="91"/>
    </w:p>
    <w:p>
      <w:pPr>
        <w:pStyle w:val="4"/>
      </w:pPr>
      <w:bookmarkStart w:id="92" w:name="section-38"/>
      <w:bookmarkEnd w:id="92"/>
    </w:p>
    <w:p>
      <w:pPr>
        <w:pStyle w:val="4"/>
      </w:pPr>
      <w:bookmarkStart w:id="93" w:name="section-39"/>
      <w:bookmarkEnd w:id="93"/>
    </w:p>
    <w:p>
      <w:pPr>
        <w:pStyle w:val="4"/>
      </w:pPr>
      <w:bookmarkStart w:id="94" w:name="section-40"/>
      <w:bookmarkEnd w:id="94"/>
    </w:p>
    <w:p>
      <w:pPr>
        <w:pStyle w:val="4"/>
      </w:pPr>
      <w:bookmarkStart w:id="95" w:name="section-41"/>
      <w:bookmarkEnd w:id="95"/>
    </w:p>
    <w:p>
      <w:pPr>
        <w:pStyle w:val="4"/>
      </w:pPr>
      <w:bookmarkStart w:id="96" w:name="section-42"/>
      <w:bookmarkEnd w:id="96"/>
    </w:p>
    <w:p>
      <w:pPr>
        <w:pStyle w:val="5"/>
      </w:pPr>
      <w:bookmarkStart w:id="97" w:name="обзор-ресурсов"/>
      <w:bookmarkEnd w:id="97"/>
      <w:r>
        <w:t xml:space="preserve">ОБЗОР РЕСУРСОВ</w:t>
      </w:r>
    </w:p>
    <w:p>
      <w:pPr>
        <w:pStyle w:val="1"/>
      </w:pPr>
      <w:bookmarkStart w:id="98" w:name="общее-описание"/>
      <w:bookmarkEnd w:id="98"/>
      <w:r>
        <w:t xml:space="preserve">ОБЩЕЕ ОПИСАНИЕ</w:t>
      </w:r>
    </w:p>
    <w:p>
      <w:pPr>
        <w:pStyle w:val="4"/>
      </w:pPr>
      <w:bookmarkStart w:id="99" w:name="в-москве-промышленным-организациям-предоставляется-адресная-государственная-поддержка-в-рамках-программы-развитие-промышленности-и-повышение-ее-конкурентоспособности-в-городе-москве.-в-рамках-этой-программы-предприятиям-предоставляются-субсидии-на-развитие-производства-модернизацию-оборудования-повышение-квалификации-персонала-и-другие-меры-поддержки.в-2021-году-на-реализацию-программы-развитие-промышленности-и-повышение-ее-конкурентоспособности-в-городе-москве-выделено-более-5-миллиардов-рублей.-в-рамках-этой-программы-планируется-поддержать-более-200-промышленных-предприятий-в-москве.-в-целом-адресная-государственная-поддержка-промышленным-организациям-в-москве-является-одной-из-важных-мер-поддержки-бизнеса-и-способствует-развитию-промышленности-в-городе."/>
      <w:bookmarkEnd w:id="99"/>
      <w:r>
        <w:t xml:space="preserve">В Москве промышленным организациям предоставляется адресная государственная поддержка в рамках программы "Развитие промышленности и повышение ее конкурентоспособности в городе Москве". В рамках этой программы предприятиям предоставляются субсидии на развитие производства, модернизацию оборудования, повышение квалификации персонала и другие меры поддержки.В 2021 году на реализацию программы "Развитие промышленности и повышение ее конкурентоспособности в городе Москве" выделено более 5 миллиардов рублей. В рамках этой программы планируется поддержать более 200 промышленных предприятий в Москве. В целом, адресная государственная поддержка промышленным организациям в Москве является одной из важных мер поддержки бизнеса и способствует развитию промышленности в городе.</w:t>
      </w:r>
    </w:p>
    <w:p>
      <w:pPr>
        <w:pStyle w:val="4"/>
      </w:pPr>
      <w:bookmarkStart w:id="100" w:name="section-43"/>
      <w:bookmarkEnd w:id="100"/>
    </w:p>
    <w:p>
      <w:pPr>
        <w:pStyle w:val="4"/>
      </w:pPr>
      <w:bookmarkStart w:id="101" w:name="section-44"/>
      <w:bookmarkEnd w:id="101"/>
    </w:p>
    <w:p>
      <w:pPr>
        <w:pStyle w:val="4"/>
      </w:pPr>
      <w:bookmarkStart w:id="102" w:name="section-45"/>
      <w:bookmarkEnd w:id="102"/>
    </w:p>
    <w:p>
      <w:pPr>
        <w:pStyle w:val="4"/>
      </w:pPr>
      <w:bookmarkStart w:id="103" w:name="section-46"/>
      <w:bookmarkEnd w:id="103"/>
    </w:p>
    <w:p>
      <w:pPr>
        <w:pStyle w:val="FirstParagraph"/>
      </w:pPr>
      <w:hyperlink r:id="rId104">
        <w:r>
          <w:rPr>
            <w:rStyle w:val="ad"/>
          </w:rPr>
          <w:t xml:space="preserve">Инвестиционный портала города Москвы</w:t>
        </w:r>
      </w:hyperlink>
      <w:r>
        <w:br w:type="textWrapping"/>
      </w:r>
      <w:hyperlink r:id="rId105">
        <w:r>
          <w:rPr>
            <w:rStyle w:val="ad"/>
          </w:rPr>
          <w:t xml:space="preserve">Технополис москва</w:t>
        </w:r>
      </w:hyperlink>
      <w:r>
        <w:br w:type="textWrapping"/>
      </w:r>
      <w:hyperlink r:id="rId106">
        <w:r>
          <w:rPr>
            <w:rStyle w:val="ad"/>
          </w:rPr>
          <w:t xml:space="preserve">Московская техническая школа</w:t>
        </w:r>
      </w:hyperlink>
    </w:p>
    <w:p>
      <w:pPr>
        <w:pStyle w:val="4"/>
      </w:pPr>
      <w:bookmarkStart w:id="107" w:name="section-47"/>
      <w:bookmarkEnd w:id="107"/>
    </w:p>
    <w:p>
      <w:pPr>
        <w:pStyle w:val="5"/>
      </w:pPr>
      <w:bookmarkStart w:id="108" w:name="заключение"/>
      <w:bookmarkEnd w:id="108"/>
      <w:r>
        <w:t xml:space="preserve">ЗАКЛЮЧЕНИЕ</w:t>
      </w:r>
    </w:p>
    <w:p>
      <w:pPr>
        <w:pStyle w:val="1"/>
      </w:pPr>
      <w:bookmarkStart w:id="109" w:name="заключительное-слово"/>
      <w:bookmarkEnd w:id="109"/>
      <w:r>
        <w:t xml:space="preserve">ЗАКЛЮЧИТЕЛЬНОЕ СЛОВО</w:t>
      </w:r>
    </w:p>
    <w:p>
      <w:pPr>
        <w:pStyle w:val="4"/>
      </w:pPr>
      <w:bookmarkStart w:id="110" w:name="в-заключение-инвестирование-в-промышленное-предприятие-в-городе-москва-является-перспективным-и-выгодным-решением-для-бизнеса.-благодаря-высокому-уровню-инфраструктуры-доступности-квалифицированных-кадров-и-наличию-различных-программ-поддержки-москва-предоставляет-отличные-условия-для-развития-промышленности-и-бизнеса-в-целом.-инвестирование-в-промышленное-предприятие-в-москве-может-стать-успешным-и-долгосрочным-проектом-который-принесет-высокую-доходность-и-укрепит-позиции-бизнеса-на-рынке."/>
      <w:bookmarkEnd w:id="110"/>
      <w:r>
        <w:t xml:space="preserve">В заключение, инвестирование в промышленное предприятие в городе Москва является перспективным и выгодным решением для бизнеса. Благодаря высокому уровню инфраструктуры, доступности квалифицированных кадров и наличию различных программ поддержки, Москва предоставляет отличные условия для развития промышленности и бизнеса в целом. Инвестирование в промышленное предприятие в Москве может стать успешным и долгосрочным проектом, который принесет высокую доходность и укрепит позиции бизнеса на рынке.</w:t>
      </w:r>
    </w:p>
    <w:sectPr w:rsidR="00EF446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nton">
    <w:panose1 w:val="00000500000000000000"/>
    <w:charset w:val="00"/>
    <w:family w:val="modern"/>
    <w:notTrueType/>
    <w:pitch w:val="variable"/>
    <w:sig w:usb0="A00002EF" w:usb1="4000207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6FE98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1e7811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 w16cid:durableId="179648658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2A0EA8"/>
    <w:pPr>
      <w:keepNext/>
      <w:keepLines/>
      <w:spacing w:before="480" w:after="0" w:line="480" w:lineRule="auto"/>
      <w:outlineLvl w:val="0"/>
    </w:pPr>
    <w:rPr>
      <w:rFonts w:ascii="Panton" w:eastAsiaTheme="majorEastAsia" w:hAnsi="Panton" w:cstheme="majorBidi"/>
      <w:b/>
      <w:bCs/>
      <w:color w:val="C00000"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rsid w:val="004917B6"/>
    <w:pPr>
      <w:keepNext/>
      <w:keepLines/>
      <w:spacing w:before="200" w:after="0"/>
      <w:outlineLvl w:val="3"/>
    </w:pPr>
    <w:rPr>
      <w:rFonts w:ascii="Panton" w:eastAsiaTheme="majorEastAsia" w:hAnsi="Panton" w:cstheme="majorBidi"/>
      <w:bCs/>
      <w:color w:val="262626" w:themeColor="text1" w:themeTint="D9"/>
      <w:sz w:val="32"/>
    </w:rPr>
  </w:style>
  <w:style w:type="paragraph" w:styleId="5">
    <w:name w:val="heading 5"/>
    <w:basedOn w:val="a"/>
    <w:next w:val="a0"/>
    <w:uiPriority w:val="9"/>
    <w:unhideWhenUsed/>
    <w:qFormat/>
    <w:rsid w:val="00963DE5"/>
    <w:pPr>
      <w:keepNext/>
      <w:keepLines/>
      <w:spacing w:before="200" w:after="0"/>
      <w:jc w:val="right"/>
      <w:outlineLvl w:val="4"/>
    </w:pPr>
    <w:rPr>
      <w:rFonts w:ascii="Panton" w:eastAsiaTheme="majorEastAsia" w:hAnsi="Panton" w:cstheme="majorBidi"/>
      <w:b/>
      <w:iCs/>
      <w:color w:val="7F7F7F" w:themeColor="text1" w:themeTint="80"/>
      <w:sz w:val="28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051582"/>
    <w:pPr>
      <w:spacing w:before="120" w:after="4080"/>
    </w:pPr>
    <w:rPr>
      <w:rFonts w:ascii="Panton" w:hAnsi="Panton"/>
      <w:color w:val="000000" w:themeColor="text1"/>
      <w:sz w:val="32"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6A197A"/>
    <w:pPr>
      <w:keepNext/>
      <w:keepLines/>
      <w:spacing w:before="5880" w:after="6360"/>
      <w:jc w:val="center"/>
    </w:pPr>
    <w:rPr>
      <w:rFonts w:ascii="Panton" w:eastAsiaTheme="majorEastAsia" w:hAnsi="Panton" w:cstheme="majorBidi"/>
      <w:b/>
      <w:bCs/>
      <w:color w:val="404040" w:themeColor="text1" w:themeTint="BF"/>
      <w:sz w:val="44"/>
      <w:szCs w:val="36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6" Target="http://moscowtechschool.ru/" TargetMode="External" /><Relationship Type="http://schemas.openxmlformats.org/officeDocument/2006/relationships/hyperlink" Id="rId104" Target="https://investmoscow.ru/online-services/navigator-support-measures" TargetMode="External" /><Relationship Type="http://schemas.openxmlformats.org/officeDocument/2006/relationships/hyperlink" Id="rId105" Target="https://technomoscow.r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6" Target="http://moscowtechschool.ru/" TargetMode="External" /><Relationship Type="http://schemas.openxmlformats.org/officeDocument/2006/relationships/hyperlink" Id="rId104" Target="https://investmoscow.ru/online-services/navigator-support-measures" TargetMode="External" /><Relationship Type="http://schemas.openxmlformats.org/officeDocument/2006/relationships/hyperlink" Id="rId105" Target="https://technomoscow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ВОЗМОЖНЫХ ЗАТРАТАХ НА ЗАПУСК ПРОМЫШЛЕННОГО ПРОИЗВОДСТВА В ГОРОДЕ МОСКВЕ</dc:title>
  <dc:creator/>
  <dcterms:created xsi:type="dcterms:W3CDTF">2023-05-27T13:32:19Z</dcterms:created>
  <dcterms:modified xsi:type="dcterms:W3CDTF">2023-05-27T13:32:19Z</dcterms:modified>
</cp:coreProperties>
</file>