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96C1" w14:textId="0E1A3B70" w:rsidR="00EC7F3E" w:rsidRDefault="00EC7F3E" w:rsidP="00103F6F">
      <w:pPr>
        <w:rPr>
          <w:b/>
          <w:bCs/>
        </w:rPr>
      </w:pPr>
      <w:r>
        <w:rPr>
          <w:b/>
          <w:bCs/>
        </w:rPr>
        <w:fldChar w:fldCharType="begin"/>
      </w:r>
      <w:r>
        <w:rPr>
          <w:b/>
          <w:bCs/>
        </w:rPr>
        <w:instrText>HYPERLINK "</w:instrText>
      </w:r>
      <w:r w:rsidRPr="00EC7F3E">
        <w:rPr>
          <w:b/>
          <w:bCs/>
        </w:rPr>
        <w:instrText>https://github.com/St10443269/programming7312_part-1.git</w:instrText>
      </w:r>
      <w:r>
        <w:rPr>
          <w:b/>
          <w:bCs/>
        </w:rPr>
        <w:instrText>"</w:instrText>
      </w:r>
      <w:r>
        <w:rPr>
          <w:b/>
          <w:bCs/>
        </w:rPr>
        <w:fldChar w:fldCharType="separate"/>
      </w:r>
      <w:r w:rsidRPr="00326E14">
        <w:rPr>
          <w:rStyle w:val="Hyperlink"/>
          <w:b/>
          <w:bCs/>
        </w:rPr>
        <w:t>https://github.com/St10443269/programming7312_</w:t>
      </w:r>
      <w:r w:rsidRPr="00326E14">
        <w:rPr>
          <w:rStyle w:val="Hyperlink"/>
          <w:b/>
          <w:bCs/>
        </w:rPr>
        <w:t>p</w:t>
      </w:r>
      <w:r w:rsidRPr="00326E14">
        <w:rPr>
          <w:rStyle w:val="Hyperlink"/>
          <w:b/>
          <w:bCs/>
        </w:rPr>
        <w:t>art-1.git</w:t>
      </w:r>
      <w:r>
        <w:rPr>
          <w:b/>
          <w:bCs/>
        </w:rPr>
        <w:fldChar w:fldCharType="end"/>
      </w:r>
      <w:r>
        <w:rPr>
          <w:b/>
          <w:bCs/>
        </w:rPr>
        <w:t xml:space="preserve"> </w:t>
      </w:r>
    </w:p>
    <w:p w14:paraId="739A477C" w14:textId="6F4A707E" w:rsidR="00103F6F" w:rsidRPr="00103F6F" w:rsidRDefault="00103F6F" w:rsidP="00103F6F">
      <w:pPr>
        <w:rPr>
          <w:b/>
          <w:bCs/>
        </w:rPr>
      </w:pPr>
      <w:r w:rsidRPr="00103F6F">
        <w:rPr>
          <w:b/>
          <w:bCs/>
        </w:rPr>
        <w:t>User Engagement and Dashboard Interactivity</w:t>
      </w:r>
    </w:p>
    <w:p w14:paraId="00B55BC2" w14:textId="77777777" w:rsidR="00103F6F" w:rsidRPr="00103F6F" w:rsidRDefault="00103F6F" w:rsidP="00103F6F">
      <w:pPr>
        <w:rPr>
          <w:b/>
          <w:bCs/>
        </w:rPr>
      </w:pPr>
      <w:r w:rsidRPr="00103F6F">
        <w:rPr>
          <w:b/>
          <w:bCs/>
        </w:rPr>
        <w:t>1. Five strategies</w:t>
      </w:r>
    </w:p>
    <w:p w14:paraId="488DD0C2" w14:textId="77777777" w:rsidR="00103F6F" w:rsidRPr="00103F6F" w:rsidRDefault="00103F6F" w:rsidP="00103F6F">
      <w:pPr>
        <w:rPr>
          <w:b/>
          <w:bCs/>
        </w:rPr>
      </w:pPr>
      <w:r w:rsidRPr="00103F6F">
        <w:rPr>
          <w:b/>
          <w:bCs/>
        </w:rPr>
        <w:t>Real-time visual telemetry feedback</w:t>
      </w:r>
    </w:p>
    <w:p w14:paraId="038E6D8F" w14:textId="77777777" w:rsidR="00103F6F" w:rsidRPr="00103F6F" w:rsidRDefault="00103F6F" w:rsidP="00103F6F">
      <w:r w:rsidRPr="00103F6F">
        <w:t>Instead of waiting on a report or hitting refresh, the user watches the charts update as the readings arrive. If a temperature climbs quickly, the line climbs with it, so the problem shows up on screen at roughly the same moment it happens on the device.</w:t>
      </w:r>
    </w:p>
    <w:p w14:paraId="0A0DC60B" w14:textId="77777777" w:rsidR="00103F6F" w:rsidRPr="00103F6F" w:rsidRDefault="00103F6F" w:rsidP="00103F6F">
      <w:pPr>
        <w:rPr>
          <w:b/>
          <w:bCs/>
        </w:rPr>
      </w:pPr>
      <w:r w:rsidRPr="00103F6F">
        <w:rPr>
          <w:b/>
          <w:bCs/>
        </w:rPr>
        <w:t>Gamification</w:t>
      </w:r>
    </w:p>
    <w:p w14:paraId="4D734539" w14:textId="77777777" w:rsidR="00103F6F" w:rsidRPr="00103F6F" w:rsidRDefault="00103F6F" w:rsidP="00103F6F">
      <w:r w:rsidRPr="00103F6F">
        <w:t>This is the badges, streaks, milestones and progress bar side of things. The thinking is that giving people something to chase keeps them coming back to the dashboard — a badge for clearing an alert, say, or for keeping the system running past a certain point. Xiao, Wu and Hamari (2022) reviewed 75 studies on gamification in IoT and found engagement gains across a range of contexts, though how well it works does seem to depend on the setting.</w:t>
      </w:r>
    </w:p>
    <w:p w14:paraId="5A338282" w14:textId="77777777" w:rsidR="00103F6F" w:rsidRPr="00103F6F" w:rsidRDefault="00103F6F" w:rsidP="00103F6F">
      <w:pPr>
        <w:rPr>
          <w:b/>
          <w:bCs/>
        </w:rPr>
      </w:pPr>
      <w:r w:rsidRPr="00103F6F">
        <w:rPr>
          <w:b/>
          <w:bCs/>
        </w:rPr>
        <w:t>Automated anomaly alerts</w:t>
      </w:r>
    </w:p>
    <w:p w14:paraId="05229729" w14:textId="77777777" w:rsidR="00103F6F" w:rsidRPr="00103F6F" w:rsidRDefault="00103F6F" w:rsidP="00103F6F">
      <w:r w:rsidRPr="00103F6F">
        <w:t>An IoT deployment produces an enormous amount of data and almost all of it is unremarkable. Rather than expecting someone to sit and watch all of it, the system can flag the readings that don't fit the usual pattern and only bother the user about those. Chatterjee and Ahmed (2022) survey the anomaly detection techniques used in IoT and cover sensor monitoring as one of the main applications.</w:t>
      </w:r>
    </w:p>
    <w:p w14:paraId="1B0DC2E2" w14:textId="77777777" w:rsidR="00103F6F" w:rsidRPr="00103F6F" w:rsidRDefault="00103F6F" w:rsidP="00103F6F">
      <w:pPr>
        <w:rPr>
          <w:b/>
          <w:bCs/>
        </w:rPr>
      </w:pPr>
      <w:r w:rsidRPr="00103F6F">
        <w:rPr>
          <w:b/>
          <w:bCs/>
        </w:rPr>
        <w:t>Alert-fatigue-aware design</w:t>
      </w:r>
    </w:p>
    <w:p w14:paraId="79FA1A69" w14:textId="77777777" w:rsidR="00103F6F" w:rsidRPr="00103F6F" w:rsidRDefault="00103F6F" w:rsidP="00103F6F">
      <w:r w:rsidRPr="00103F6F">
        <w:t xml:space="preserve">This is the flipside of the point above. If everything triggers an alert then nothing does, because people start dismissing them without reading. The dashboard needs some sense of priority, so that only the things that </w:t>
      </w:r>
      <w:proofErr w:type="gramStart"/>
      <w:r w:rsidRPr="00103F6F">
        <w:t>actually need</w:t>
      </w:r>
      <w:proofErr w:type="gramEnd"/>
      <w:r w:rsidRPr="00103F6F">
        <w:t xml:space="preserve"> a human get pushed forward and everything else sits quietly in a log. Tariq et al. (2025) describe how alert volume and false positives lead to fatigue.</w:t>
      </w:r>
    </w:p>
    <w:p w14:paraId="0AD424D6" w14:textId="77777777" w:rsidR="00103F6F" w:rsidRPr="00103F6F" w:rsidRDefault="00103F6F" w:rsidP="00103F6F">
      <w:pPr>
        <w:rPr>
          <w:b/>
          <w:bCs/>
        </w:rPr>
      </w:pPr>
      <w:r w:rsidRPr="00103F6F">
        <w:rPr>
          <w:b/>
          <w:bCs/>
        </w:rPr>
        <w:t>Simplified onboarding</w:t>
      </w:r>
    </w:p>
    <w:p w14:paraId="0795CE6F" w14:textId="77777777" w:rsidR="00103F6F" w:rsidRPr="00103F6F" w:rsidRDefault="00103F6F" w:rsidP="00103F6F">
      <w:r w:rsidRPr="00103F6F">
        <w:t xml:space="preserve">Nobody should have to understand the entire dashboard before they can use any of it. A short </w:t>
      </w:r>
      <w:proofErr w:type="spellStart"/>
      <w:r w:rsidRPr="00103F6F">
        <w:t>walkthrough</w:t>
      </w:r>
      <w:proofErr w:type="spellEnd"/>
      <w:r w:rsidRPr="00103F6F">
        <w:t xml:space="preserve"> the </w:t>
      </w:r>
      <w:proofErr w:type="gramStart"/>
      <w:r w:rsidRPr="00103F6F">
        <w:t>first time</w:t>
      </w:r>
      <w:proofErr w:type="gramEnd"/>
      <w:r w:rsidRPr="00103F6F">
        <w:t xml:space="preserve"> round, pointing out the main panels, goes a long way — particularly for users who aren't especially confident with this kind of software.</w:t>
      </w:r>
    </w:p>
    <w:p w14:paraId="191D1DA4" w14:textId="77777777" w:rsidR="00103F6F" w:rsidRPr="00103F6F" w:rsidRDefault="00103F6F" w:rsidP="00103F6F">
      <w:pPr>
        <w:rPr>
          <w:b/>
          <w:bCs/>
        </w:rPr>
      </w:pPr>
      <w:r w:rsidRPr="00103F6F">
        <w:rPr>
          <w:b/>
          <w:bCs/>
        </w:rPr>
        <w:t>2. Chosen strategy: real-time visual telemetry feedback</w:t>
      </w:r>
    </w:p>
    <w:p w14:paraId="0D06E197" w14:textId="77777777" w:rsidR="00103F6F" w:rsidRPr="00103F6F" w:rsidRDefault="00103F6F" w:rsidP="00103F6F">
      <w:r w:rsidRPr="00103F6F">
        <w:t xml:space="preserve">Of the five, real-time visual telemetry feedback is the one I'd build first for a high-throughput dashboard. The reason is </w:t>
      </w:r>
      <w:proofErr w:type="gramStart"/>
      <w:r w:rsidRPr="00103F6F">
        <w:t>fairly simple</w:t>
      </w:r>
      <w:proofErr w:type="gramEnd"/>
      <w:r w:rsidRPr="00103F6F">
        <w:t xml:space="preserve">: it turns a problem of reading into a problem of looking. A technician glancing at a line chart or a gauge picks up the state of </w:t>
      </w:r>
      <w:r w:rsidRPr="00103F6F">
        <w:lastRenderedPageBreak/>
        <w:t>a sensor in a second or two, where the same information spread across a few thousand log rows would take them far longer and they might still miss it. With high-throughput IoT that volume isn't a hypothetical — a handful of sensors reporting every few seconds adds up quickly. Lavalle et al. (2020) make the case for visualisation as the layer that makes real-time analytics usable, and IoT telemetry is close to the worst case they have in mind.</w:t>
      </w:r>
    </w:p>
    <w:p w14:paraId="5C091C7E" w14:textId="77777777" w:rsidR="00103F6F" w:rsidRPr="00103F6F" w:rsidRDefault="00103F6F" w:rsidP="00103F6F">
      <w:r w:rsidRPr="00103F6F">
        <w:t>The clearest benefit is how obvious a spike becomes. If a sensor normally sits between 20 °C and 30 °C and then jumps to 65 °C, the chart shows a vertical line that you can't really miss, whereas in a table it's just another row of numbers. The chart also carries its own history, which matters more than it first appears: the technician can see whether 65 °C is genuinely unusual for that sensor or whether it spiked the same way last Tuesday and settled again. Chatterjee and Ahmed (2022) make a similar point about context — whether a reading counts as an anomaly often depends on what came before it, not just on the value itself.</w:t>
      </w:r>
    </w:p>
    <w:p w14:paraId="64970847" w14:textId="77777777" w:rsidR="00103F6F" w:rsidRPr="00103F6F" w:rsidRDefault="00103F6F" w:rsidP="00103F6F">
      <w:r w:rsidRPr="00103F6F">
        <w:t>The same panel can also cover the case where a sensor stops reporting altogether. A small connected/disconnected indicator next to each sensor, along with its last reading and the timestamp of that reading, tells the technician a lot in very little space. A sensor that went quiet three seconds ago is probably a network hiccup; one that has been quiet since yesterday afternoon and whose last reading was already climbing is a different problem. Adhikari et al. (2024) discuss this kind of sensor-level analysis and why the state of the device matters alongside the data it sends.</w:t>
      </w:r>
    </w:p>
    <w:p w14:paraId="11258B53" w14:textId="77777777" w:rsidR="00103F6F" w:rsidRPr="00103F6F" w:rsidRDefault="00103F6F" w:rsidP="00103F6F">
      <w:r w:rsidRPr="00103F6F">
        <w:t>Beyond that, the dashboard can do a bit of the interpretation itself rather than leaving all of it to the chart. Highlighting the spike where it occurs, or dropping a short warning banner alongside it, points the technician at the part of the system worth checking first instead of making them work it out from scratch.</w:t>
      </w:r>
    </w:p>
    <w:p w14:paraId="685EA878" w14:textId="77777777" w:rsidR="00103F6F" w:rsidRPr="00103F6F" w:rsidRDefault="00103F6F" w:rsidP="00103F6F">
      <w:r w:rsidRPr="00103F6F">
        <w:t xml:space="preserve">So overall I think it's the strongest option because it does the most work for the least effort from the user. It compresses a very large amount of sensor data into something that can be read </w:t>
      </w:r>
      <w:proofErr w:type="gramStart"/>
      <w:r w:rsidRPr="00103F6F">
        <w:t>at a glance</w:t>
      </w:r>
      <w:proofErr w:type="gramEnd"/>
      <w:r w:rsidRPr="00103F6F">
        <w:t>, makes unusual readings stand out on their own, and shows connection problems in the same view. That should shorten the time between something going wrong and someone noticing it, which is really what the dashboard is for.</w:t>
      </w:r>
    </w:p>
    <w:p w14:paraId="58BCC8B5" w14:textId="77139EEE" w:rsidR="00B83B54" w:rsidRDefault="00C32F0F" w:rsidP="00103F6F">
      <w:r>
        <w:t xml:space="preserve">References </w:t>
      </w:r>
    </w:p>
    <w:p w14:paraId="4779675B" w14:textId="77777777" w:rsidR="00C32F0F" w:rsidRPr="00C32F0F" w:rsidRDefault="00C32F0F" w:rsidP="00C32F0F">
      <w:r w:rsidRPr="00C32F0F">
        <w:rPr>
          <w:b/>
          <w:bCs/>
        </w:rPr>
        <w:t>3. References</w:t>
      </w:r>
    </w:p>
    <w:p w14:paraId="177EEFFE" w14:textId="77777777" w:rsidR="00C32F0F" w:rsidRPr="00C32F0F" w:rsidRDefault="00C32F0F" w:rsidP="00C32F0F">
      <w:r w:rsidRPr="00C32F0F">
        <w:t xml:space="preserve">Adhikari, D., Jiang, W., Zhan, J., Rawat, D.B. and Bhattarai, A. (2024) 'Recent advances in anomaly detection in Internet of Things: status, challenges, and perspectives', </w:t>
      </w:r>
      <w:r w:rsidRPr="00C32F0F">
        <w:rPr>
          <w:i/>
          <w:iCs/>
        </w:rPr>
        <w:t>Computer Science Review</w:t>
      </w:r>
      <w:r w:rsidRPr="00C32F0F">
        <w:t xml:space="preserve">, 54, Article 100665. Available at: </w:t>
      </w:r>
      <w:hyperlink r:id="rId4" w:tgtFrame="_blank" w:history="1">
        <w:r w:rsidRPr="00C32F0F">
          <w:rPr>
            <w:rStyle w:val="Hyperlink"/>
          </w:rPr>
          <w:t>https://doi.org/10.1016/j.cosrev.2024.100665</w:t>
        </w:r>
      </w:hyperlink>
      <w:r w:rsidRPr="00C32F0F">
        <w:t xml:space="preserve"> (Accessed: 14 September 2026).</w:t>
      </w:r>
    </w:p>
    <w:p w14:paraId="7BC9A642" w14:textId="77777777" w:rsidR="00C32F0F" w:rsidRPr="00C32F0F" w:rsidRDefault="00C32F0F" w:rsidP="00C32F0F">
      <w:r w:rsidRPr="00C32F0F">
        <w:lastRenderedPageBreak/>
        <w:t xml:space="preserve">Chatterjee, A. and Ahmed, B.S. (2022) 'IoT anomaly detection methods and applications: a survey', </w:t>
      </w:r>
      <w:r w:rsidRPr="00C32F0F">
        <w:rPr>
          <w:i/>
          <w:iCs/>
        </w:rPr>
        <w:t>Internet of Things</w:t>
      </w:r>
      <w:r w:rsidRPr="00C32F0F">
        <w:t xml:space="preserve">, 19, Article 100568. Available at: </w:t>
      </w:r>
      <w:hyperlink r:id="rId5" w:tgtFrame="_blank" w:history="1">
        <w:r w:rsidRPr="00C32F0F">
          <w:rPr>
            <w:rStyle w:val="Hyperlink"/>
          </w:rPr>
          <w:t>https://doi.org/10.1016/j.iot.2022.100568</w:t>
        </w:r>
      </w:hyperlink>
      <w:r w:rsidRPr="00C32F0F">
        <w:t xml:space="preserve"> (Accessed: 14 September 2026).</w:t>
      </w:r>
    </w:p>
    <w:p w14:paraId="01FC1AA8" w14:textId="77777777" w:rsidR="00C32F0F" w:rsidRPr="00C32F0F" w:rsidRDefault="00C32F0F" w:rsidP="00C32F0F">
      <w:r w:rsidRPr="00C32F0F">
        <w:t xml:space="preserve">Lavalle, A., Teruel, M.A., Maté, A. and Trujillo, J. (2020) 'Fostering sustainability through visualization techniques for real-time IoT data: a case study based on gas turbines for electricity production', </w:t>
      </w:r>
      <w:r w:rsidRPr="00C32F0F">
        <w:rPr>
          <w:i/>
          <w:iCs/>
        </w:rPr>
        <w:t>Sensors</w:t>
      </w:r>
      <w:r w:rsidRPr="00C32F0F">
        <w:t xml:space="preserve">, 20(16), Article 4556. Available at: </w:t>
      </w:r>
      <w:hyperlink r:id="rId6" w:tgtFrame="_blank" w:history="1">
        <w:r w:rsidRPr="00C32F0F">
          <w:rPr>
            <w:rStyle w:val="Hyperlink"/>
          </w:rPr>
          <w:t>https://doi.org/10.3390/s20164556</w:t>
        </w:r>
      </w:hyperlink>
      <w:r w:rsidRPr="00C32F0F">
        <w:t xml:space="preserve"> (Accessed: 14 September 2026).</w:t>
      </w:r>
    </w:p>
    <w:p w14:paraId="3F974911" w14:textId="77777777" w:rsidR="00C32F0F" w:rsidRPr="00C32F0F" w:rsidRDefault="00C32F0F" w:rsidP="00C32F0F">
      <w:r w:rsidRPr="00C32F0F">
        <w:t xml:space="preserve">Tariq, M., Baruwal Chhetri, S., Nepal, S. and Paris, C. (2025) 'Alert fatigue in security operations centres: research challenges and opportunities', </w:t>
      </w:r>
      <w:r w:rsidRPr="00C32F0F">
        <w:rPr>
          <w:i/>
          <w:iCs/>
        </w:rPr>
        <w:t>ACM Computing Surveys</w:t>
      </w:r>
      <w:r w:rsidRPr="00C32F0F">
        <w:t xml:space="preserve">, 57(9), pp. 1–38. Available at: </w:t>
      </w:r>
      <w:hyperlink r:id="rId7" w:tgtFrame="_blank" w:history="1">
        <w:r w:rsidRPr="00C32F0F">
          <w:rPr>
            <w:rStyle w:val="Hyperlink"/>
          </w:rPr>
          <w:t>https://doi.org/10.1145/3723158</w:t>
        </w:r>
      </w:hyperlink>
      <w:r w:rsidRPr="00C32F0F">
        <w:t xml:space="preserve"> (Accessed: 14 September 2026).</w:t>
      </w:r>
    </w:p>
    <w:p w14:paraId="29DAE733" w14:textId="77777777" w:rsidR="00C32F0F" w:rsidRPr="00C32F0F" w:rsidRDefault="00C32F0F" w:rsidP="00C32F0F">
      <w:r w:rsidRPr="00C32F0F">
        <w:t xml:space="preserve">Xiao, R., Wu, Z. and Hamari, J. (2022) 'Internet-of-Gamification: a review of literature on IoT-enabled gamification for user engagement', </w:t>
      </w:r>
      <w:r w:rsidRPr="00C32F0F">
        <w:rPr>
          <w:i/>
          <w:iCs/>
        </w:rPr>
        <w:t>International Journal of Human-Computer Interaction</w:t>
      </w:r>
      <w:r w:rsidRPr="00C32F0F">
        <w:t xml:space="preserve">, 38(12), pp. 1113–1137. Available at: </w:t>
      </w:r>
      <w:hyperlink r:id="rId8" w:tgtFrame="_blank" w:history="1">
        <w:r w:rsidRPr="00C32F0F">
          <w:rPr>
            <w:rStyle w:val="Hyperlink"/>
          </w:rPr>
          <w:t>https://doi.org/10.1080/10447318.2021.1990517</w:t>
        </w:r>
      </w:hyperlink>
      <w:r w:rsidRPr="00C32F0F">
        <w:t xml:space="preserve"> (Accessed: 14 September 2026).</w:t>
      </w:r>
    </w:p>
    <w:p w14:paraId="2EFDC16D" w14:textId="4FB6D283" w:rsidR="00AE7C13" w:rsidRPr="00AE7C13" w:rsidRDefault="00AE7C13" w:rsidP="00AE7C13">
      <w:r w:rsidRPr="00AE7C13">
        <w:rPr>
          <w:b/>
          <w:bCs/>
        </w:rPr>
        <w:t>References (</w:t>
      </w:r>
      <w:proofErr w:type="gramStart"/>
      <w:r w:rsidRPr="00AE7C13">
        <w:rPr>
          <w:b/>
          <w:bCs/>
        </w:rPr>
        <w:t xml:space="preserve">code </w:t>
      </w:r>
      <w:r>
        <w:rPr>
          <w:b/>
          <w:bCs/>
        </w:rPr>
        <w:t>)</w:t>
      </w:r>
      <w:proofErr w:type="gramEnd"/>
    </w:p>
    <w:p w14:paraId="57F24AA3" w14:textId="77777777" w:rsidR="00AE7C13" w:rsidRPr="00AE7C13" w:rsidRDefault="00AE7C13" w:rsidP="00AE7C13">
      <w:proofErr w:type="spellStart"/>
      <w:r w:rsidRPr="00AE7C13">
        <w:t>Espressif</w:t>
      </w:r>
      <w:proofErr w:type="spellEnd"/>
      <w:r w:rsidRPr="00AE7C13">
        <w:t xml:space="preserve"> Systems (n.d.) </w:t>
      </w:r>
      <w:r w:rsidRPr="00AE7C13">
        <w:rPr>
          <w:i/>
          <w:iCs/>
        </w:rPr>
        <w:t xml:space="preserve">ESP32 Wi-Fi &amp; Bluetooth </w:t>
      </w:r>
      <w:proofErr w:type="spellStart"/>
      <w:r w:rsidRPr="00AE7C13">
        <w:rPr>
          <w:i/>
          <w:iCs/>
        </w:rPr>
        <w:t>SoC</w:t>
      </w:r>
      <w:r w:rsidRPr="00AE7C13">
        <w:t>.</w:t>
      </w:r>
      <w:proofErr w:type="spellEnd"/>
      <w:r w:rsidRPr="00AE7C13">
        <w:t xml:space="preserve"> Available at: </w:t>
      </w:r>
      <w:hyperlink r:id="rId9" w:tgtFrame="_blank" w:history="1">
        <w:r w:rsidRPr="00AE7C13">
          <w:rPr>
            <w:rStyle w:val="Hyperlink"/>
          </w:rPr>
          <w:t>https://www.espressif.com/en/products/socs/esp32</w:t>
        </w:r>
      </w:hyperlink>
      <w:r w:rsidRPr="00AE7C13">
        <w:t xml:space="preserve"> (Accessed: 14 September 2026).</w:t>
      </w:r>
    </w:p>
    <w:p w14:paraId="05263978" w14:textId="77777777" w:rsidR="00AE7C13" w:rsidRPr="00AE7C13" w:rsidRDefault="00AE7C13" w:rsidP="00AE7C13">
      <w:r w:rsidRPr="00AE7C13">
        <w:t xml:space="preserve">Internet Engineering Task Force (2014) </w:t>
      </w:r>
      <w:r w:rsidRPr="00AE7C13">
        <w:rPr>
          <w:i/>
          <w:iCs/>
        </w:rPr>
        <w:t>RFC 7252: The Constrained Application Protocol (CoAP)</w:t>
      </w:r>
      <w:r w:rsidRPr="00AE7C13">
        <w:t xml:space="preserve">. Available at: </w:t>
      </w:r>
      <w:hyperlink r:id="rId10" w:tgtFrame="_blank" w:history="1">
        <w:r w:rsidRPr="00AE7C13">
          <w:rPr>
            <w:rStyle w:val="Hyperlink"/>
          </w:rPr>
          <w:t>https://datatracker.ietf.org/doc/html/rfc7252</w:t>
        </w:r>
      </w:hyperlink>
      <w:r w:rsidRPr="00AE7C13">
        <w:t xml:space="preserve"> (Accessed: 14 September 2026).</w:t>
      </w:r>
    </w:p>
    <w:p w14:paraId="26775370" w14:textId="77777777" w:rsidR="00AE7C13" w:rsidRPr="00AE7C13" w:rsidRDefault="00AE7C13" w:rsidP="00AE7C13">
      <w:r w:rsidRPr="00AE7C13">
        <w:t xml:space="preserve">Microsoft (2025) </w:t>
      </w:r>
      <w:r w:rsidRPr="00AE7C13">
        <w:rPr>
          <w:i/>
          <w:iCs/>
        </w:rPr>
        <w:t>Boxing and unboxing (C# programming guide)</w:t>
      </w:r>
      <w:r w:rsidRPr="00AE7C13">
        <w:t xml:space="preserve">. Microsoft Learn. Available at: </w:t>
      </w:r>
      <w:hyperlink r:id="rId11" w:tgtFrame="_blank" w:history="1">
        <w:r w:rsidRPr="00AE7C13">
          <w:rPr>
            <w:rStyle w:val="Hyperlink"/>
          </w:rPr>
          <w:t>https://learn.microsoft.com/en-us/dotnet/csharp/programming-guide/types/boxing-and-unboxing</w:t>
        </w:r>
      </w:hyperlink>
      <w:r w:rsidRPr="00AE7C13">
        <w:t xml:space="preserve"> (Accessed: 14 September 2026).</w:t>
      </w:r>
    </w:p>
    <w:p w14:paraId="4AC8B4EC" w14:textId="77777777" w:rsidR="00AE7C13" w:rsidRPr="00AE7C13" w:rsidRDefault="00AE7C13" w:rsidP="00AE7C13">
      <w:r w:rsidRPr="00AE7C13">
        <w:t xml:space="preserve">Microsoft (2026) </w:t>
      </w:r>
      <w:r w:rsidRPr="00AE7C13">
        <w:rPr>
          <w:i/>
          <w:iCs/>
        </w:rPr>
        <w:t>Generic types and methods (C#)</w:t>
      </w:r>
      <w:r w:rsidRPr="00AE7C13">
        <w:t xml:space="preserve">. Microsoft Learn. Available at: </w:t>
      </w:r>
      <w:hyperlink r:id="rId12" w:tgtFrame="_blank" w:history="1">
        <w:r w:rsidRPr="00AE7C13">
          <w:rPr>
            <w:rStyle w:val="Hyperlink"/>
          </w:rPr>
          <w:t>https://learn.microsoft.com/en-us/dotnet/csharp/fundamentals/types/generics</w:t>
        </w:r>
      </w:hyperlink>
      <w:r w:rsidRPr="00AE7C13">
        <w:t xml:space="preserve"> (Accessed: 14 September 2026).</w:t>
      </w:r>
    </w:p>
    <w:p w14:paraId="10D19548" w14:textId="77777777" w:rsidR="00AE7C13" w:rsidRPr="00AE7C13" w:rsidRDefault="00AE7C13" w:rsidP="00AE7C13">
      <w:r w:rsidRPr="00AE7C13">
        <w:t xml:space="preserve">Microsoft (n.d.) </w:t>
      </w:r>
      <w:r w:rsidRPr="00AE7C13">
        <w:rPr>
          <w:i/>
          <w:iCs/>
        </w:rPr>
        <w:t>Minimal APIs quick reference</w:t>
      </w:r>
      <w:r w:rsidRPr="00AE7C13">
        <w:t xml:space="preserve">. Microsoft Learn. Available at: </w:t>
      </w:r>
      <w:hyperlink r:id="rId13" w:tgtFrame="_blank" w:history="1">
        <w:r w:rsidRPr="00AE7C13">
          <w:rPr>
            <w:rStyle w:val="Hyperlink"/>
          </w:rPr>
          <w:t>https://learn.microsoft.com/en-us/aspnet/core/fundamentals/minimal-apis</w:t>
        </w:r>
      </w:hyperlink>
      <w:r w:rsidRPr="00AE7C13">
        <w:t xml:space="preserve"> (Accessed: 14 September 2026).</w:t>
      </w:r>
    </w:p>
    <w:p w14:paraId="5358B2F0" w14:textId="77777777" w:rsidR="00AE7C13" w:rsidRPr="00AE7C13" w:rsidRDefault="00AE7C13" w:rsidP="00AE7C13">
      <w:r w:rsidRPr="00AE7C13">
        <w:t xml:space="preserve">Microsoft (2025) </w:t>
      </w:r>
      <w:r w:rsidRPr="00AE7C13">
        <w:rPr>
          <w:i/>
          <w:iCs/>
        </w:rPr>
        <w:t>ASP.NET Core Blazor hosting models</w:t>
      </w:r>
      <w:r w:rsidRPr="00AE7C13">
        <w:t xml:space="preserve">. Microsoft Learn. Available at: </w:t>
      </w:r>
      <w:hyperlink r:id="rId14" w:tgtFrame="_blank" w:history="1">
        <w:r w:rsidRPr="00AE7C13">
          <w:rPr>
            <w:rStyle w:val="Hyperlink"/>
          </w:rPr>
          <w:t>https://learn.microsoft.com/en-us/aspnet/core/blazor/hosting-models</w:t>
        </w:r>
      </w:hyperlink>
      <w:r w:rsidRPr="00AE7C13">
        <w:t xml:space="preserve"> (Accessed: 14 September 2026).</w:t>
      </w:r>
    </w:p>
    <w:p w14:paraId="0CD57B7B" w14:textId="77777777" w:rsidR="00AE7C13" w:rsidRPr="00AE7C13" w:rsidRDefault="00AE7C13" w:rsidP="00AE7C13">
      <w:r w:rsidRPr="00AE7C13">
        <w:t xml:space="preserve">OASIS (2019) </w:t>
      </w:r>
      <w:r w:rsidRPr="00AE7C13">
        <w:rPr>
          <w:i/>
          <w:iCs/>
        </w:rPr>
        <w:t>MQTT Version 5.0</w:t>
      </w:r>
      <w:r w:rsidRPr="00AE7C13">
        <w:t xml:space="preserve">. OASIS Standard. Available at: </w:t>
      </w:r>
      <w:hyperlink r:id="rId15" w:tgtFrame="_blank" w:history="1">
        <w:r w:rsidRPr="00AE7C13">
          <w:rPr>
            <w:rStyle w:val="Hyperlink"/>
          </w:rPr>
          <w:t>https://docs.oasis-open.org/mqtt/mqtt/v5.0/mqtt-v5.0.html</w:t>
        </w:r>
      </w:hyperlink>
      <w:r w:rsidRPr="00AE7C13">
        <w:t xml:space="preserve"> (Accessed: 14 September 2026).</w:t>
      </w:r>
    </w:p>
    <w:p w14:paraId="74EECC70" w14:textId="77777777" w:rsidR="00AE7C13" w:rsidRPr="00AE7C13" w:rsidRDefault="00AE7C13" w:rsidP="00AE7C13">
      <w:r w:rsidRPr="00AE7C13">
        <w:lastRenderedPageBreak/>
        <w:t xml:space="preserve">OWASP Foundation (n.d.) </w:t>
      </w:r>
      <w:r w:rsidRPr="00AE7C13">
        <w:rPr>
          <w:i/>
          <w:iCs/>
        </w:rPr>
        <w:t>File Upload Cheat Sheet</w:t>
      </w:r>
      <w:r w:rsidRPr="00AE7C13">
        <w:t xml:space="preserve">. OWASP Cheat Sheet Series. Available at: </w:t>
      </w:r>
      <w:hyperlink r:id="rId16" w:tgtFrame="_blank" w:history="1">
        <w:r w:rsidRPr="00AE7C13">
          <w:rPr>
            <w:rStyle w:val="Hyperlink"/>
          </w:rPr>
          <w:t>https://cheatsheetseries.owasp.org/cheatsheets/File_Upload_Cheat_Sheet.html</w:t>
        </w:r>
      </w:hyperlink>
      <w:r w:rsidRPr="00AE7C13">
        <w:t xml:space="preserve"> (Accessed: 14 September 2026).</w:t>
      </w:r>
    </w:p>
    <w:p w14:paraId="4DE447B9" w14:textId="13449653" w:rsidR="00C32F0F" w:rsidRPr="00C32F0F" w:rsidRDefault="00C32F0F" w:rsidP="00C32F0F"/>
    <w:p w14:paraId="0D6E45ED" w14:textId="77777777" w:rsidR="00C32F0F" w:rsidRPr="00103F6F" w:rsidRDefault="00C32F0F" w:rsidP="00103F6F"/>
    <w:sectPr w:rsidR="00C32F0F" w:rsidRPr="00103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54"/>
    <w:rsid w:val="00033D07"/>
    <w:rsid w:val="00051ECC"/>
    <w:rsid w:val="00103F6F"/>
    <w:rsid w:val="00263D64"/>
    <w:rsid w:val="002D67BE"/>
    <w:rsid w:val="006D3BB3"/>
    <w:rsid w:val="00917DB4"/>
    <w:rsid w:val="009D5422"/>
    <w:rsid w:val="00AE7C13"/>
    <w:rsid w:val="00B83B54"/>
    <w:rsid w:val="00C32F0F"/>
    <w:rsid w:val="00D63D35"/>
    <w:rsid w:val="00E14194"/>
    <w:rsid w:val="00EC7F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C519"/>
  <w15:chartTrackingRefBased/>
  <w15:docId w15:val="{83B271FB-206F-4AF1-A45A-F418E9592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B54"/>
    <w:rPr>
      <w:rFonts w:eastAsiaTheme="majorEastAsia" w:cstheme="majorBidi"/>
      <w:color w:val="272727" w:themeColor="text1" w:themeTint="D8"/>
    </w:rPr>
  </w:style>
  <w:style w:type="paragraph" w:styleId="Title">
    <w:name w:val="Title"/>
    <w:basedOn w:val="Normal"/>
    <w:next w:val="Normal"/>
    <w:link w:val="TitleChar"/>
    <w:uiPriority w:val="10"/>
    <w:qFormat/>
    <w:rsid w:val="00B8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B54"/>
    <w:pPr>
      <w:spacing w:before="160"/>
      <w:jc w:val="center"/>
    </w:pPr>
    <w:rPr>
      <w:i/>
      <w:iCs/>
      <w:color w:val="404040" w:themeColor="text1" w:themeTint="BF"/>
    </w:rPr>
  </w:style>
  <w:style w:type="character" w:customStyle="1" w:styleId="QuoteChar">
    <w:name w:val="Quote Char"/>
    <w:basedOn w:val="DefaultParagraphFont"/>
    <w:link w:val="Quote"/>
    <w:uiPriority w:val="29"/>
    <w:rsid w:val="00B83B54"/>
    <w:rPr>
      <w:i/>
      <w:iCs/>
      <w:color w:val="404040" w:themeColor="text1" w:themeTint="BF"/>
    </w:rPr>
  </w:style>
  <w:style w:type="paragraph" w:styleId="ListParagraph">
    <w:name w:val="List Paragraph"/>
    <w:basedOn w:val="Normal"/>
    <w:uiPriority w:val="34"/>
    <w:qFormat/>
    <w:rsid w:val="00B83B54"/>
    <w:pPr>
      <w:ind w:left="720"/>
      <w:contextualSpacing/>
    </w:pPr>
  </w:style>
  <w:style w:type="character" w:styleId="IntenseEmphasis">
    <w:name w:val="Intense Emphasis"/>
    <w:basedOn w:val="DefaultParagraphFont"/>
    <w:uiPriority w:val="21"/>
    <w:qFormat/>
    <w:rsid w:val="00B83B54"/>
    <w:rPr>
      <w:i/>
      <w:iCs/>
      <w:color w:val="0F4761" w:themeColor="accent1" w:themeShade="BF"/>
    </w:rPr>
  </w:style>
  <w:style w:type="paragraph" w:styleId="IntenseQuote">
    <w:name w:val="Intense Quote"/>
    <w:basedOn w:val="Normal"/>
    <w:next w:val="Normal"/>
    <w:link w:val="IntenseQuoteChar"/>
    <w:uiPriority w:val="30"/>
    <w:qFormat/>
    <w:rsid w:val="00B83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B54"/>
    <w:rPr>
      <w:i/>
      <w:iCs/>
      <w:color w:val="0F4761" w:themeColor="accent1" w:themeShade="BF"/>
    </w:rPr>
  </w:style>
  <w:style w:type="character" w:styleId="IntenseReference">
    <w:name w:val="Intense Reference"/>
    <w:basedOn w:val="DefaultParagraphFont"/>
    <w:uiPriority w:val="32"/>
    <w:qFormat/>
    <w:rsid w:val="00B83B54"/>
    <w:rPr>
      <w:b/>
      <w:bCs/>
      <w:smallCaps/>
      <w:color w:val="0F4761" w:themeColor="accent1" w:themeShade="BF"/>
      <w:spacing w:val="5"/>
    </w:rPr>
  </w:style>
  <w:style w:type="character" w:styleId="Hyperlink">
    <w:name w:val="Hyperlink"/>
    <w:basedOn w:val="DefaultParagraphFont"/>
    <w:uiPriority w:val="99"/>
    <w:unhideWhenUsed/>
    <w:rsid w:val="00B83B54"/>
    <w:rPr>
      <w:color w:val="467886" w:themeColor="hyperlink"/>
      <w:u w:val="single"/>
    </w:rPr>
  </w:style>
  <w:style w:type="character" w:styleId="UnresolvedMention">
    <w:name w:val="Unresolved Mention"/>
    <w:basedOn w:val="DefaultParagraphFont"/>
    <w:uiPriority w:val="99"/>
    <w:semiHidden/>
    <w:unhideWhenUsed/>
    <w:rsid w:val="00B83B54"/>
    <w:rPr>
      <w:color w:val="605E5C"/>
      <w:shd w:val="clear" w:color="auto" w:fill="E1DFDD"/>
    </w:rPr>
  </w:style>
  <w:style w:type="character" w:styleId="FollowedHyperlink">
    <w:name w:val="FollowedHyperlink"/>
    <w:basedOn w:val="DefaultParagraphFont"/>
    <w:uiPriority w:val="99"/>
    <w:semiHidden/>
    <w:unhideWhenUsed/>
    <w:rsid w:val="00EC7F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447318.2021.1990517" TargetMode="External"/><Relationship Id="rId13" Type="http://schemas.openxmlformats.org/officeDocument/2006/relationships/hyperlink" Target="https://learn.microsoft.com/en-us/aspnet/core/fundamentals/minimal-api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145/3723158" TargetMode="External"/><Relationship Id="rId12" Type="http://schemas.openxmlformats.org/officeDocument/2006/relationships/hyperlink" Target="https://learn.microsoft.com/en-us/dotnet/csharp/fundamentals/types/generic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cheatsheetseries.owasp.org/cheatsheets/File_Upload_Cheat_Sheet.html" TargetMode="External"/><Relationship Id="rId1" Type="http://schemas.openxmlformats.org/officeDocument/2006/relationships/styles" Target="styles.xml"/><Relationship Id="rId6" Type="http://schemas.openxmlformats.org/officeDocument/2006/relationships/hyperlink" Target="https://doi.org/10.3390/s20164556" TargetMode="External"/><Relationship Id="rId11" Type="http://schemas.openxmlformats.org/officeDocument/2006/relationships/hyperlink" Target="https://learn.microsoft.com/en-us/dotnet/csharp/programming-guide/types/boxing-and-unboxing" TargetMode="External"/><Relationship Id="rId5" Type="http://schemas.openxmlformats.org/officeDocument/2006/relationships/hyperlink" Target="https://doi.org/10.1016/j.iot.2022.100568" TargetMode="External"/><Relationship Id="rId15" Type="http://schemas.openxmlformats.org/officeDocument/2006/relationships/hyperlink" Target="https://docs.oasis-open.org/mqtt/mqtt/v5.0/mqtt-v5.0.html" TargetMode="External"/><Relationship Id="rId10" Type="http://schemas.openxmlformats.org/officeDocument/2006/relationships/hyperlink" Target="https://datatracker.ietf.org/doc/html/rfc7252" TargetMode="External"/><Relationship Id="rId4" Type="http://schemas.openxmlformats.org/officeDocument/2006/relationships/hyperlink" Target="https://doi.org/10.1016/j.cosrev.2024.100665" TargetMode="External"/><Relationship Id="rId9" Type="http://schemas.openxmlformats.org/officeDocument/2006/relationships/hyperlink" Target="https://www.espressif.com/en/products/socs/esp32" TargetMode="External"/><Relationship Id="rId14" Type="http://schemas.openxmlformats.org/officeDocument/2006/relationships/hyperlink" Target="https://learn.microsoft.com/en-us/aspnet/core/blazor/hosting-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Daniel Elliott</dc:creator>
  <cp:keywords/>
  <dc:description/>
  <cp:lastModifiedBy>Tristan Daniel Elliott</cp:lastModifiedBy>
  <cp:revision>8</cp:revision>
  <dcterms:created xsi:type="dcterms:W3CDTF">2026-09-13T17:47:00Z</dcterms:created>
  <dcterms:modified xsi:type="dcterms:W3CDTF">2026-09-14T19:27:00Z</dcterms:modified>
</cp:coreProperties>
</file>