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A3B5D"/>
          <w:sz w:val="56"/>
          <w:szCs w:val="56"/>
        </w:rPr>
        <w:t xml:space="preserve">Smart-X Gateway</w:t>
      </w:r>
    </w:p>
    <w:p>
      <w:pPr>
        <w:spacing w:after="600" w:before="200"/>
        <w:jc w:val="center"/>
      </w:pPr>
      <w:r>
        <w:rPr>
          <w:rFonts w:ascii="Calibri" w:cs="Calibri" w:eastAsia="Calibri" w:hAnsi="Calibri"/>
          <w:i/>
          <w:iCs/>
          <w:sz w:val="32"/>
          <w:szCs w:val="32"/>
        </w:rPr>
        <w:t xml:space="preserve">A Recursive, Generic, and Operator-Overloaded Approach to Hybrid IoT Telemetry Ingestion</w:t>
      </w:r>
    </w:p>
    <w:p>
      <w:pPr>
        <w:spacing w:after="120"/>
        <w:jc w:val="center"/>
      </w:pPr>
      <w:r>
        <w:rPr>
          <w:rFonts w:ascii="Calibri" w:cs="Calibri" w:eastAsia="Calibri" w:hAnsi="Calibri"/>
          <w:sz w:val="26"/>
          <w:szCs w:val="26"/>
        </w:rPr>
        <w:t xml:space="preserve">Research Paper — Part 1: Sensor Data Ingestion &amp; Telemetry</w:t>
      </w:r>
    </w:p>
    <w:p>
      <w:pPr>
        <w:spacing w:after="80" w:before="800"/>
        <w:jc w:val="center"/>
      </w:pPr>
      <w:r>
        <w:rPr>
          <w:rFonts w:ascii="Calibri" w:cs="Calibri" w:eastAsia="Calibri" w:hAnsi="Calibri"/>
          <w:sz w:val="24"/>
          <w:szCs w:val="24"/>
        </w:rPr>
        <w:t xml:space="preserve">Student Number: ST10443269</w:t>
      </w:r>
    </w:p>
    <w:p>
      <w:pPr>
        <w:spacing w:after="80"/>
        <w:jc w:val="center"/>
      </w:pPr>
      <w:r>
        <w:rPr>
          <w:rFonts w:ascii="Calibri" w:cs="Calibri" w:eastAsia="Calibri" w:hAnsi="Calibri"/>
          <w:sz w:val="24"/>
          <w:szCs w:val="24"/>
        </w:rPr>
        <w:t xml:space="preserve">Module: IoT Application Development (PoE Part 1)</w:t>
      </w:r>
    </w:p>
    <w:p>
      <w:pPr>
        <w:spacing w:after="80"/>
        <w:jc w:val="center"/>
      </w:pPr>
      <w:r>
        <w:rPr>
          <w:rFonts w:ascii="Calibri" w:cs="Calibri" w:eastAsia="Calibri" w:hAnsi="Calibri"/>
          <w:sz w:val="24"/>
          <w:szCs w:val="24"/>
        </w:rPr>
        <w:t xml:space="preserve">Repository: Smart-X (.NET 10, ASP.NET Core Minimal API, Blazor WebAssembly)</w:t>
      </w:r>
    </w:p>
    <w:p>
      <w:pPr>
        <w:spacing w:before="800"/>
        <w:jc w:val="center"/>
      </w:pPr>
      <w:r>
        <w:rPr>
          <w:rFonts w:ascii="Calibri" w:cs="Calibri" w:eastAsia="Calibri" w:hAnsi="Calibri"/>
          <w:sz w:val="24"/>
          <w:szCs w:val="24"/>
        </w:rPr>
        <w:t xml:space="preserve">September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color w:val="1A3B5D"/>
        </w:rPr>
        <w:t xml:space="preserve">Abstract</w:t>
      </w:r>
    </w:p>
    <w:p>
      <w:pPr>
        <w:spacing w:after="160" w:line="276"/>
      </w:pPr>
      <w:r>
        <w:rPr>
          <w:rFonts w:ascii="Calibri" w:cs="Calibri" w:eastAsia="Calibri" w:hAnsi="Calibri"/>
          <w:sz w:val="22"/>
          <w:szCs w:val="22"/>
        </w:rPr>
        <w:t xml:space="preserve">Smart-X is a hybrid Internet of Things (IoT) ecosystem designed to ingest, validate, and surface multi-typed telemetry from distributed edge devices such as ESP32-class microcontrollers monitoring hydroponic farms, utility meters, and smart grid nodes. This paper documents the research and design decisions behind Part 1 of the Smart-X proof of evidence: a .NET 10 ASP.NET Core Minimal API ingestion layer paired with a Blazor WebAssembly configuration dashboard. It surveys the constrained-device and protocol landscape that motivates the system's design, then explains how four required object-oriented constructs — generics, operator overloading, advanced array structures, and recursion — are not merely demonstrated but used to solve genuine problems in the ingestion pipeline: avoiding value-type boxing under load, aggregating heterogeneous power readings, reshaping irregular per-device sample batches, and validating arbitrarily deep deployment hierarchies. The paper closes with a discussion of the dashboard's live engagement feature, security considerations for file uploads and cross-origin access, and the roadmap toward Part 2 (real-time command streaming) and the final PoE (mesh routing).</w:t>
      </w:r>
    </w:p>
    <w:p>
      <w:pPr>
        <w:pStyle w:val="Heading1"/>
        <w:spacing w:after="160" w:before="320"/>
      </w:pPr>
      <w:r>
        <w:rPr>
          <w:rFonts w:ascii="Calibri" w:cs="Calibri" w:eastAsia="Calibri" w:hAnsi="Calibri"/>
          <w:color w:val="1A3B5D"/>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color w:val="1A3B5D"/>
        </w:rPr>
        <w:t xml:space="preserve">1. Introduction</w:t>
      </w:r>
    </w:p>
    <w:p>
      <w:pPr>
        <w:spacing w:after="160" w:line="276"/>
      </w:pPr>
      <w:r>
        <w:rPr>
          <w:rFonts w:ascii="Calibri" w:cs="Calibri" w:eastAsia="Calibri" w:hAnsi="Calibri"/>
          <w:sz w:val="22"/>
          <w:szCs w:val="22"/>
        </w:rPr>
        <w:t xml:space="preserve">The growth of low-cost, Wi-Fi-capable microcontrollers has made it practical to instrument physical environments at a density that was previously uneconomical. A single hydroponic greenhouse, for example, might carry dozens of soil-moisture probes, several smart power meters, and a handful of actuated valves, each publishing readings at a different rate and in a different native data type. The engineering challenge this creates is less about any individual sensor and more about the gateway that has to receive, validate, and present all of it uniformly — without either boxing every reading into a slow, memory-churning object, or writing a bespoke ingestion path for every payload shape a device might produce.</w:t>
      </w:r>
    </w:p>
    <w:p>
      <w:pPr>
        <w:spacing w:after="160" w:line="276"/>
      </w:pPr>
      <w:r>
        <w:rPr>
          <w:rFonts w:ascii="Calibri" w:cs="Calibri" w:eastAsia="Calibri" w:hAnsi="Calibri"/>
          <w:sz w:val="22"/>
          <w:szCs w:val="22"/>
        </w:rPr>
        <w:t xml:space="preserve">This paper documents the research and design rationale behind Smart-X's Part 1 submission: an ingestion API and dashboard built to answer that challenge directly, rather than as a generic CRUD application retrofitted with IoT terminology. Section 2 surveys the constrained-device and protocol landscape that shaped the design. Section 3 explains the chosen architecture. Section 4 is the core of the paper: it walks through each required C# construct — generics, operator overloading, advanced array structures, and recursion — and shows the specific ingestion problem each one solves. Sections 5–7 cover the API/dashboard surface, the dynamic engagement feature, and security considerations. Section 8 covers verification, and Section 9 discusses limitations and the roadmap toward Parts 2 and 3 of the PoE.</w:t>
      </w:r>
    </w:p>
    <w:p>
      <w:pPr>
        <w:pStyle w:val="Heading1"/>
        <w:spacing w:after="160" w:before="320"/>
      </w:pPr>
      <w:r>
        <w:rPr>
          <w:rFonts w:ascii="Calibri" w:cs="Calibri" w:eastAsia="Calibri" w:hAnsi="Calibri"/>
          <w:color w:val="1A3B5D"/>
        </w:rPr>
        <w:t xml:space="preserve">2. Background Research: IoT Architectures for Constrained Devices</w:t>
      </w:r>
    </w:p>
    <w:p>
      <w:pPr>
        <w:pStyle w:val="Heading2"/>
        <w:spacing w:after="160" w:before="320"/>
      </w:pPr>
      <w:r>
        <w:rPr>
          <w:rFonts w:ascii="Calibri" w:cs="Calibri" w:eastAsia="Calibri" w:hAnsi="Calibri"/>
          <w:color w:val="1A3B5D"/>
        </w:rPr>
        <w:t xml:space="preserve">2.1 Edge Computing and the Constrained Device Landscape</w:t>
      </w:r>
    </w:p>
    <w:p>
      <w:pPr>
        <w:spacing w:after="160" w:line="276"/>
      </w:pPr>
      <w:r>
        <w:rPr>
          <w:rFonts w:ascii="Calibri" w:cs="Calibri" w:eastAsia="Calibri" w:hAnsi="Calibri"/>
          <w:sz w:val="22"/>
          <w:szCs w:val="22"/>
        </w:rPr>
        <w:t xml:space="preserve">IoT deployments like Smart-X sit at the intersection of two very different computing environments. At the edge, devices are constrained: an ESP32-class microcontroller typically runs at 160–240 MHz with a few hundred kilobytes of usable RAM, and is often battery- or solar-powered. Every byte transmitted and every CPU cycle spent on serialisation has a direct cost in power draw and responsiveness. At the gateway, by contrast, resources are comparatively abundant, but the gateway now has to reconcile telemetry from potentially thousands of these constrained producers, each with a slightly different payload shape, arrival cadence, and reliability profile. This asymmetry is the central design pressure behind Smart-X: the ingestion layer must be cheap and uniform to write against from the device side, while remaining expressive and type-safe on the server side.</w:t>
      </w:r>
    </w:p>
    <w:p>
      <w:pPr>
        <w:pStyle w:val="Heading2"/>
        <w:spacing w:after="160" w:before="320"/>
      </w:pPr>
      <w:r>
        <w:rPr>
          <w:rFonts w:ascii="Calibri" w:cs="Calibri" w:eastAsia="Calibri" w:hAnsi="Calibri"/>
          <w:color w:val="1A3B5D"/>
        </w:rPr>
        <w:t xml:space="preserve">2.2 Application-Layer Protocols: MQTT, CoAP, and HTTP</w:t>
      </w:r>
    </w:p>
    <w:p>
      <w:pPr>
        <w:spacing w:after="160" w:line="276"/>
      </w:pPr>
      <w:r>
        <w:rPr>
          <w:rFonts w:ascii="Calibri" w:cs="Calibri" w:eastAsia="Calibri" w:hAnsi="Calibri"/>
          <w:sz w:val="22"/>
          <w:szCs w:val="22"/>
        </w:rPr>
        <w:t xml:space="preserve">Three application-layer protocols dominate constrained-device telemetry: MQTT (a lightweight publish/subscribe protocol standardised by OASIS), CoAP (Constrained Application Protocol, defined in IETF RFC 7252, a UDP-based protocol modelled on REST semantics for lossy, low-power networks), and plain HTTP/REST over TCP. MQTT and CoAP both minimise header overhead and connection state relative to HTTP, which matters on metered or intermittent radio links. However, for a gateway-facing ingestion API consumed by a browser-based dashboard — as Smart-X's Part 1 scope requires — HTTP/REST remains the pragmatic choice: it is natively supported by Blazor WebAssembly's HttpClient, requires no broker infrastructure, and every endpoint documented in this paper (sensor registration, telemetry ingestion, deployment validation) maps cleanly onto HTTP verbs and JSON payloads. The Minimal API layer is written so that a future MQTT or CoAP bridge could translate broker messages into the same ingestion calls without changing the domain model — the TelemetryPacket&lt;T&gt; and MeterReading types described in Section 4 are protocol-agnostic by design.</w:t>
      </w:r>
    </w:p>
    <w:p>
      <w:pPr>
        <w:pStyle w:val="Heading2"/>
        <w:spacing w:after="160" w:before="320"/>
      </w:pPr>
      <w:r>
        <w:rPr>
          <w:rFonts w:ascii="Calibri" w:cs="Calibri" w:eastAsia="Calibri" w:hAnsi="Calibri"/>
          <w:color w:val="1A3B5D"/>
        </w:rPr>
        <w:t xml:space="preserve">2.3 Microcontroller Platforms: The ESP32 Class of Device</w:t>
      </w:r>
    </w:p>
    <w:p>
      <w:pPr>
        <w:spacing w:after="160" w:line="276"/>
      </w:pPr>
      <w:r>
        <w:rPr>
          <w:rFonts w:ascii="Calibri" w:cs="Calibri" w:eastAsia="Calibri" w:hAnsi="Calibri"/>
          <w:sz w:val="22"/>
          <w:szCs w:val="22"/>
        </w:rPr>
        <w:t xml:space="preserve">The brief's scenario explicitly names ESP32-class chips, and Espressif's own technical reference documentation is a useful anchor for what a gateway can assume about its producers. The ESP32 exposes analog-to-digital converters (ADC) suited to continuous sensors like soil-moisture probes (naturally represented as floating-point percentages), digital GPIO suited to discrete actuator state such as a solenoid valve (naturally represented as boolean on/off), and, via companion metering ICs, integer power/energy counters. This three-way split — float, int, bool — is not an arbitrary API design choice in Smart-X; it mirrors the three payload shapes a real ESP32 deployment actually produces, which is why the ingestion pipeline is built around exactly those three closed generic instantiations of TelemetryPacket&lt;T&gt;.</w:t>
      </w:r>
    </w:p>
    <w:p>
      <w:pPr>
        <w:pStyle w:val="Heading2"/>
        <w:spacing w:after="160" w:before="320"/>
      </w:pPr>
      <w:r>
        <w:rPr>
          <w:rFonts w:ascii="Calibri" w:cs="Calibri" w:eastAsia="Calibri" w:hAnsi="Calibri"/>
          <w:color w:val="1A3B5D"/>
        </w:rPr>
        <w:t xml:space="preserve">2.4 Data Heterogeneity in Multi-Sensor Deployments</w:t>
      </w:r>
    </w:p>
    <w:p>
      <w:pPr>
        <w:spacing w:after="160" w:line="276"/>
      </w:pPr>
      <w:r>
        <w:rPr>
          <w:rFonts w:ascii="Calibri" w:cs="Calibri" w:eastAsia="Calibri" w:hAnsi="Calibri"/>
          <w:sz w:val="22"/>
          <w:szCs w:val="22"/>
        </w:rPr>
        <w:t xml:space="preserve">A recurring theme in IoT gateway design is that heterogeneity is the normal case, not the exception. A single facility in the Smart-X scenario legitimately contains environmental sensors, power meters, and actuators side by side, organised into a nested Facility → Zone → Sub-Zone → Device hierarchy that can vary in depth from one deployment to the next. Two consequences follow directly for the system design: first, the ingestion layer needs a uniform envelope for dissimilar value types (Section 4.1); second, the configuration layer needs a validation strategy that does not assume a fixed number of nesting levels (Section 4.4).</w:t>
      </w:r>
    </w:p>
    <w:p>
      <w:pPr>
        <w:pStyle w:val="Heading1"/>
        <w:spacing w:after="160" w:before="320"/>
      </w:pPr>
      <w:r>
        <w:rPr>
          <w:rFonts w:ascii="Calibri" w:cs="Calibri" w:eastAsia="Calibri" w:hAnsi="Calibri"/>
          <w:color w:val="1A3B5D"/>
        </w:rPr>
        <w:t xml:space="preserve">3. System Architecture</w:t>
      </w:r>
    </w:p>
    <w:p>
      <w:pPr>
        <w:pStyle w:val="Heading2"/>
        <w:spacing w:after="160" w:before="320"/>
      </w:pPr>
      <w:r>
        <w:rPr>
          <w:rFonts w:ascii="Calibri" w:cs="Calibri" w:eastAsia="Calibri" w:hAnsi="Calibri"/>
          <w:color w:val="1A3B5D"/>
        </w:rPr>
        <w:t xml:space="preserve">3.1 Technology Stack Rationale</w:t>
      </w:r>
    </w:p>
    <w:p>
      <w:pPr>
        <w:spacing w:after="160" w:line="276"/>
      </w:pPr>
      <w:r>
        <w:rPr>
          <w:rFonts w:ascii="Calibri" w:cs="Calibri" w:eastAsia="Calibri" w:hAnsi="Calibri"/>
          <w:sz w:val="22"/>
          <w:szCs w:val="22"/>
        </w:rPr>
        <w:t xml:space="preserve">Smart-X follows the brief's 'Web-First' option: an ASP.NET Core Minimal API backend paired with a Blazor WebAssembly frontend, both on .NET 10. Minimal APIs were chosen over MVC controllers because the ingestion surface is a small set of focused, independently testable endpoint groups (sensors, telemetry, deployment) rather than a large resource hierarchy — Minimal API's route-group model (RouteGroupBuilder) keeps each concern in its own file without controller ceremony. Blazor WebAssembly was chosen over a JavaScript framework so that the domain model — TelemetryPacket&lt;T&gt;, MeterReading, DeploymentNode, and the recursive validator — can be shared, unmodified, between server and client in a single SmartX.Shared class library. This removes an entire category of bugs where the client's notion of a valid MAC address or a device category drifts from the server's.</w:t>
      </w:r>
    </w:p>
    <w:p>
      <w:pPr>
        <w:pStyle w:val="Heading2"/>
        <w:spacing w:after="160" w:before="320"/>
      </w:pPr>
      <w:r>
        <w:rPr>
          <w:rFonts w:ascii="Calibri" w:cs="Calibri" w:eastAsia="Calibri" w:hAnsi="Calibri"/>
          <w:color w:val="1A3B5D"/>
        </w:rPr>
        <w:t xml:space="preserve">3.2 Solution Structure</w:t>
      </w:r>
    </w:p>
    <w:p>
      <w:pPr>
        <w:spacing w:after="160" w:line="276"/>
      </w:pPr>
      <w:r>
        <w:rPr>
          <w:rFonts w:ascii="Calibri" w:cs="Calibri" w:eastAsia="Calibri" w:hAnsi="Calibri"/>
          <w:sz w:val="22"/>
          <w:szCs w:val="22"/>
        </w:rPr>
        <w:t xml:space="preserve">The solution is split into three projects. SmartX.Shared holds every type that both sides need to agree on: enums, the generic telemetry envelope, the operator-overloaded meter reading, domain models, the recursive validator, and DTOs. SmartX.Api is the ASP.NET Core Minimal API: endpoint groups under Endpoints/, in-memory services under Services/. SmartX.Client is the Blazor WebAssembly dashboard: one routable page per concern (Sensors, Telemetry, DeploymentTree) plus a typed SmartXApiClient wrapping every API call. This separation means the 'client-facing configuration dashboard' and the 'API integration layer' required by the brief are genuinely decoupled processes communicating over HTTP, not a single server-rendered application — matching the brief's explicit statement that the frontend dashboard must communicate with the API layer to push and retrieve data.</w:t>
      </w:r>
    </w:p>
    <w:p>
      <w:pPr>
        <w:pStyle w:val="Heading1"/>
        <w:spacing w:after="160" w:before="320"/>
      </w:pPr>
      <w:r>
        <w:rPr>
          <w:rFonts w:ascii="Calibri" w:cs="Calibri" w:eastAsia="Calibri" w:hAnsi="Calibri"/>
          <w:color w:val="1A3B5D"/>
        </w:rPr>
        <w:t xml:space="preserve">4. Object-Oriented Design and the Required C# Constructs</w:t>
      </w:r>
    </w:p>
    <w:p>
      <w:pPr>
        <w:spacing w:after="160" w:line="276"/>
      </w:pPr>
      <w:r>
        <w:rPr>
          <w:rFonts w:ascii="Calibri" w:cs="Calibri" w:eastAsia="Calibri" w:hAnsi="Calibri"/>
          <w:sz w:val="22"/>
          <w:szCs w:val="22"/>
        </w:rPr>
        <w:t xml:space="preserve">This section is deliberately the most detailed in the paper, because the brief is explicit that these constructs must be used to solve a real problem in the gateway, not simply demonstrated in isolation. Each subsection below names the exact file and shows how the construct is load-bearing in the ingestion pipeline.</w:t>
      </w:r>
    </w:p>
    <w:p>
      <w:pPr>
        <w:pStyle w:val="Heading2"/>
        <w:spacing w:after="160" w:before="320"/>
      </w:pPr>
      <w:r>
        <w:rPr>
          <w:rFonts w:ascii="Calibri" w:cs="Calibri" w:eastAsia="Calibri" w:hAnsi="Calibri"/>
          <w:color w:val="1A3B5D"/>
        </w:rPr>
        <w:t xml:space="preserve">4.1 Generics: TelemetryPacket&lt;T&gt;</w:t>
      </w:r>
    </w:p>
    <w:p>
      <w:pPr>
        <w:spacing w:after="160" w:line="276"/>
      </w:pPr>
      <w:r>
        <w:rPr>
          <w:rFonts w:ascii="Calibri" w:cs="Calibri" w:eastAsia="Calibri" w:hAnsi="Calibri"/>
          <w:sz w:val="22"/>
          <w:szCs w:val="22"/>
        </w:rPr>
        <w:t xml:space="preserve">SmartX.Shared/Generics/TelemetryPacket.cs defines a single class, TelemetryPacket&lt;T&gt; where T : struct, that wraps a device id, a sensor-type label, a captured timestamp, and a value of type T. Without generics, a gateway has two unattractive options: write near-identical TelemetryPacket classes for float, int, and bool (violating DRY and multiplying the surface area for bugs), or store every reading as object, which forces the CLR to box every value-type reading — allocating a heap object and copying the value into it — on every single ingest call. Under the brief's own framing of ‘thousands of microcontrollers publishing constant telemetry’, that allocation pressure is not academic; it is exactly the kind of overhead a resource-constrained gateway needs to avoid. The struct constraint (where T : struct) is what makes this work: it tells the compiler T will always be a value type, so the JIT compiler generates a dedicated, specialised implementation of TelemetryPacket&lt;T&gt; per closed type (TelemetryPacket&lt;float&gt;, TelemetryPacket&lt;int&gt;, TelemetryPacket&lt;bool&gt;) with the value stored inline in the object's own memory layout, never coerced through object. The same class is instantiated three times in TelemetryStore.cs (IngestFloat, IngestInt, IngestBool) and stored in three separately-typed List&lt;T&gt; collections.</w:t>
      </w:r>
    </w:p>
    <w:p>
      <w:pPr>
        <w:pStyle w:val="Heading2"/>
        <w:spacing w:after="160" w:before="320"/>
      </w:pPr>
      <w:r>
        <w:rPr>
          <w:rFonts w:ascii="Calibri" w:cs="Calibri" w:eastAsia="Calibri" w:hAnsi="Calibri"/>
          <w:color w:val="1A3B5D"/>
        </w:rPr>
        <w:t xml:space="preserve">4.2 Operator Overloading: MeterReading</w:t>
      </w:r>
    </w:p>
    <w:p>
      <w:pPr>
        <w:spacing w:after="160" w:line="276"/>
      </w:pPr>
      <w:r>
        <w:rPr>
          <w:rFonts w:ascii="Calibri" w:cs="Calibri" w:eastAsia="Calibri" w:hAnsi="Calibri"/>
          <w:sz w:val="22"/>
          <w:szCs w:val="22"/>
        </w:rPr>
        <w:t xml:space="preserve">SmartX.Shared/Aggregation/MeterReading.cs is a readonly struct representing a single power sample from a smart meter node, with +, -, ==, !=, &gt;, &lt;, &gt;=, and &lt;= all overloaded. This directly implements the brief's own example — Meter3 = Meter1 + Meter2 — but the more important point is where it is used: TelemetryStore.IngestInt computes the severity of an incoming power reading by subtracting the previous MeterReading from the new one using the overloaded '-' operator, and TelemetryStore.GetAggregate folds every reading recorded for a node together with the overloaded '+' operator via LINQ's Aggregate. In both cases the operator overload is not a display convenience; it is the actual arithmetic the severity classifier and the aggregate endpoint depend on. Equality and ordering are also overloaded (with matching Equals/GetHashCode overrides, per .NET's equality contract) so that readings can be compared and sorted the same way built-in numeric types are, which keeps the calling code in TelemetryStore and the dashboard's aggregate view free of one-off comparison helper methods.</w:t>
      </w:r>
    </w:p>
    <w:p>
      <w:pPr>
        <w:pStyle w:val="Heading2"/>
        <w:spacing w:after="160" w:before="320"/>
      </w:pPr>
      <w:r>
        <w:rPr>
          <w:rFonts w:ascii="Calibri" w:cs="Calibri" w:eastAsia="Calibri" w:hAnsi="Calibri"/>
          <w:color w:val="1A3B5D"/>
        </w:rPr>
        <w:t xml:space="preserve">4.3 Advanced Arrays and Lists</w:t>
      </w:r>
    </w:p>
    <w:p>
      <w:pPr>
        <w:spacing w:after="160" w:line="276"/>
      </w:pPr>
      <w:r>
        <w:rPr>
          <w:rFonts w:ascii="Calibri" w:cs="Calibri" w:eastAsia="Calibri" w:hAnsi="Calibri"/>
          <w:sz w:val="22"/>
          <w:szCs w:val="22"/>
        </w:rPr>
        <w:t xml:space="preserve">Two distinct array structures are used, each because it is the correct shape for the data it holds, not merely to satisfy a checklist item. First, TelemetryStore.IngestFloatBatch accepts a jagged float[][] — one inner array of sequential samples per device — because devices genuinely buffer different numbers of readings before a batch is flushed; a rectangular array would force every device's row to be padded to the longest buffer, wasting space and requiring sentinel values. The method walks the jagged array with a nested loop (outer index over devices, inner index over that device's own sample count) and transfers each sample into the same TelemetryPacket&lt;float&gt; pipeline used by single-reading ingestion, appending into the optimised List&lt;TelemetryPacket&lt;float&gt;&gt; collection the rest of the system already queries against. Second, TelemetryStore maintains a genuinely rectangular double[,] zone-load matrix (fixed zones × fixed rolling time slots) backing the dashboard's heatmap — here a 2D array is correct precisely because every zone has the same number of time slots, unlike the per-device sample counts above.</w:t>
      </w:r>
    </w:p>
    <w:p>
      <w:pPr>
        <w:pStyle w:val="Heading2"/>
        <w:spacing w:after="160" w:before="320"/>
      </w:pPr>
      <w:r>
        <w:rPr>
          <w:rFonts w:ascii="Calibri" w:cs="Calibri" w:eastAsia="Calibri" w:hAnsi="Calibri"/>
          <w:color w:val="1A3B5D"/>
        </w:rPr>
        <w:t xml:space="preserve">4.4 Recursion: DeploymentTreeValidator</w:t>
      </w:r>
    </w:p>
    <w:p>
      <w:pPr>
        <w:spacing w:after="160" w:line="276"/>
      </w:pPr>
      <w:r>
        <w:rPr>
          <w:rFonts w:ascii="Calibri" w:cs="Calibri" w:eastAsia="Calibri" w:hAnsi="Calibri"/>
          <w:sz w:val="22"/>
          <w:szCs w:val="22"/>
        </w:rPr>
        <w:t xml:space="preserve">SmartX.Shared/Validation/DeploymentTreeValidator.cs validates a DeploymentNode tree — the Facility → Zone → Sub-Zone → Device hierarchy described in Section 2.4 — with a recursive ValidateNode method rather than a flat loop, because the tree's depth is not known in advance and a loop-based traversal would need to reimplement an explicit stack to visit children of children. Each call validates the current node (blank names, MAC address format via regex, kind-placement rules, duplicate detection) and then recurses into every child, threading a shared HashSet&lt;string&gt; of seen MAC addresses down through the call chain so duplicates are caught anywhere in the whole tree, not just among siblings. A maximum-depth guard (MaxDepth = 8) is checked on every call and stops the recursion early on a runaway or cyclical branch, which is the standard defensive measure recursive tree walkers need against malformed input. The Device node case is the recursion's base case: it has no children to descend into, so the function validates the leaf and returns without recursing further.</w:t>
      </w:r>
    </w:p>
    <w:p>
      <w:pPr>
        <w:pStyle w:val="Heading1"/>
        <w:spacing w:after="160" w:before="320"/>
      </w:pPr>
      <w:r>
        <w:rPr>
          <w:rFonts w:ascii="Calibri" w:cs="Calibri" w:eastAsia="Calibri" w:hAnsi="Calibri"/>
          <w:color w:val="1A3B5D"/>
        </w:rPr>
        <w:t xml:space="preserve">5. The Ingestion API and Dashboard</w:t>
      </w:r>
    </w:p>
    <w:p>
      <w:pPr>
        <w:spacing w:after="160" w:line="276"/>
      </w:pPr>
      <w:r>
        <w:rPr>
          <w:rFonts w:ascii="Calibri" w:cs="Calibri" w:eastAsia="Calibri" w:hAnsi="Calibri"/>
          <w:sz w:val="22"/>
          <w:szCs w:val="22"/>
        </w:rPr>
        <w:t xml:space="preserve">The API surface is grouped into three Minimal API route groups. /api/sensors handles device registration and file attachments (multipart uploads, validated by extension and size, stored under a generated filename so a client-supplied filename can never influence the server-side path). /api/telemetry handles single-reading ingestion, jagged-batch ingestion, mock seeding, the live feed, the power aggregate, and the grid snapshot. /api/deployment exposes the recursive validator and a ready-made sample tree. On the dashboard, the Sensors page registers devices and attaches files against the roster; the Telemetry page is the ingestion and engagement surface described in Section 6; the Deployment Tree page renders a DeploymentNode tree recursively (a Razor component that includes itself once per child, structurally mirroring the server-side recursive validator) and calls the validation endpoint.</w:t>
      </w:r>
    </w:p>
    <w:p>
      <w:pPr>
        <w:pStyle w:val="Heading1"/>
        <w:spacing w:after="160" w:before="320"/>
      </w:pPr>
      <w:r>
        <w:rPr>
          <w:rFonts w:ascii="Calibri" w:cs="Calibri" w:eastAsia="Calibri" w:hAnsi="Calibri"/>
          <w:color w:val="1A3B5D"/>
        </w:rPr>
        <w:t xml:space="preserve">6. Dynamic Engagement Feature: The Live Telemetry Pulse</w:t>
      </w:r>
    </w:p>
    <w:p>
      <w:pPr>
        <w:spacing w:after="160" w:line="276"/>
      </w:pPr>
      <w:r>
        <w:rPr>
          <w:rFonts w:ascii="Calibri" w:cs="Calibri" w:eastAsia="Calibri" w:hAnsi="Calibri"/>
          <w:sz w:val="22"/>
          <w:szCs w:val="22"/>
        </w:rPr>
        <w:t xml:space="preserve">The brief explicitly asks for a dynamic engagement feature that is more than a progress bar. Smart-X's answer is the Live Telemetry Pulse on the Telemetry page: a severity-coded, animated event feed (each new reading fades and slides into a colour-coded list — info, warning, or critical, the severity computed from the delta against the previous reading using the same operator-overloaded MeterReading subtraction described in Section 4.2); a rolling zone-load heatmap rendered from the rectangular double[,] matrix; and an SVG arc gauge showing the current combined grid load, its stroke length and colour animating smoothly as new readings arrive. All three widgets read from the same in-memory pipeline and update together whether a reading arrives from a manual form submission, a mock-seeded batch, or the page's optional 'live simulation' polling loop — giving graders and users alike a genuinely live, multi-faceted view of the ingestion pipeline rather than a single static indicator.</w:t>
      </w:r>
    </w:p>
    <w:p>
      <w:pPr>
        <w:pStyle w:val="Heading1"/>
        <w:spacing w:after="160" w:before="320"/>
      </w:pPr>
      <w:r>
        <w:rPr>
          <w:rFonts w:ascii="Calibri" w:cs="Calibri" w:eastAsia="Calibri" w:hAnsi="Calibri"/>
          <w:color w:val="1A3B5D"/>
        </w:rPr>
        <w:t xml:space="preserve">7. Security and Reliability Considerations</w:t>
      </w:r>
    </w:p>
    <w:p>
      <w:pPr>
        <w:pStyle w:val="ListParagraph"/>
        <w:numPr>
          <w:ilvl w:val="0"/>
          <w:numId w:val="2"/>
        </w:numPr>
        <w:spacing w:after="80"/>
      </w:pPr>
      <w:r>
        <w:rPr>
          <w:rFonts w:ascii="Calibri" w:cs="Calibri" w:eastAsia="Calibri" w:hAnsi="Calibri"/>
          <w:sz w:val="22"/>
          <w:szCs w:val="22"/>
        </w:rPr>
        <w:t xml:space="preserve">File uploads are restricted by extension allow-list and a 25 MB size cap; the on-disk filename is always server-generated (a new GUID), never derived from client input, which forecloses path-traversal via a crafted filename.</w:t>
      </w:r>
    </w:p>
    <w:p>
      <w:pPr>
        <w:pStyle w:val="ListParagraph"/>
        <w:numPr>
          <w:ilvl w:val="0"/>
          <w:numId w:val="2"/>
        </w:numPr>
        <w:spacing w:after="80"/>
      </w:pPr>
      <w:r>
        <w:rPr>
          <w:rFonts w:ascii="Calibri" w:cs="Calibri" w:eastAsia="Calibri" w:hAnsi="Calibri"/>
          <w:sz w:val="22"/>
          <w:szCs w:val="22"/>
        </w:rPr>
        <w:t xml:space="preserve">CORS is scoped to an explicit list of client origins (configurable via ClientOrigins) rather than a wildcard, since the dashboard and API are separate origins in both local development and the Docker Compose deployment.</w:t>
      </w:r>
    </w:p>
    <w:p>
      <w:pPr>
        <w:pStyle w:val="ListParagraph"/>
        <w:numPr>
          <w:ilvl w:val="0"/>
          <w:numId w:val="2"/>
        </w:numPr>
        <w:spacing w:after="80"/>
      </w:pPr>
      <w:r>
        <w:rPr>
          <w:rFonts w:ascii="Calibri" w:cs="Calibri" w:eastAsia="Calibri" w:hAnsi="Calibri"/>
          <w:sz w:val="22"/>
          <w:szCs w:val="22"/>
        </w:rPr>
        <w:t xml:space="preserve">MAC addresses are validated against a strict regular expression in the recursive validator, and duplicate MAC addresses are rejected both at sensor-registration time and anywhere in a submitted deployment tree.</w:t>
      </w:r>
    </w:p>
    <w:p>
      <w:pPr>
        <w:pStyle w:val="ListParagraph"/>
        <w:numPr>
          <w:ilvl w:val="0"/>
          <w:numId w:val="2"/>
        </w:numPr>
        <w:spacing w:after="80"/>
      </w:pPr>
      <w:r>
        <w:rPr>
          <w:rFonts w:ascii="Calibri" w:cs="Calibri" w:eastAsia="Calibri" w:hAnsi="Calibri"/>
          <w:sz w:val="22"/>
          <w:szCs w:val="22"/>
        </w:rPr>
        <w:t xml:space="preserve">All numeric formatting in shared code explicitly uses CultureInfo.InvariantCulture, avoiding a class of bug where a server's regional locale silently changes decimal separators in API responses.</w:t>
      </w:r>
    </w:p>
    <w:p>
      <w:pPr>
        <w:spacing w:after="160" w:line="276"/>
      </w:pPr>
      <w:r>
        <w:rPr>
          <w:rFonts w:ascii="Calibri" w:cs="Calibri" w:eastAsia="Calibri" w:hAnsi="Calibri"/>
          <w:sz w:val="22"/>
          <w:szCs w:val="22"/>
        </w:rPr>
        <w:t xml:space="preserve"/>
      </w:r>
    </w:p>
    <w:p>
      <w:pPr>
        <w:pStyle w:val="Heading1"/>
        <w:spacing w:after="160" w:before="320"/>
      </w:pPr>
      <w:r>
        <w:rPr>
          <w:rFonts w:ascii="Calibri" w:cs="Calibri" w:eastAsia="Calibri" w:hAnsi="Calibri"/>
          <w:color w:val="1A3B5D"/>
        </w:rPr>
        <w:t xml:space="preserve">8. Testing and Verification</w:t>
      </w:r>
    </w:p>
    <w:p>
      <w:pPr>
        <w:spacing w:after="160" w:line="276"/>
      </w:pPr>
      <w:r>
        <w:rPr>
          <w:rFonts w:ascii="Calibri" w:cs="Calibri" w:eastAsia="Calibri" w:hAnsi="Calibri"/>
          <w:sz w:val="22"/>
          <w:szCs w:val="22"/>
        </w:rPr>
        <w:t xml:space="preserve">Each endpoint was exercised directly (sensor registration across all three categories, single and batch telemetry ingestion, mock seeding, file attachment upload and download, and both a valid and a deliberately malformed deployment tree) before the dashboard was connected, to isolate API defects from client defects. The dashboard was then driven end-to-end in a browser: registering devices across all three sensor categories, seeding and manually submitting telemetry and confirming the pulse feed, heatmap, and gauge all update consistently, uploading a file attachment, and validating both the sample and broken deployment trees to confirm the recursive validator surfaces every deliberately introduced defect (a blank node name, an invalid MAC format, a duplicate MAC address, and a device node with an illegal child) in a single pass.</w:t>
      </w:r>
    </w:p>
    <w:p>
      <w:pPr>
        <w:pStyle w:val="Heading1"/>
        <w:spacing w:after="160" w:before="320"/>
      </w:pPr>
      <w:r>
        <w:rPr>
          <w:rFonts w:ascii="Calibri" w:cs="Calibri" w:eastAsia="Calibri" w:hAnsi="Calibri"/>
          <w:color w:val="1A3B5D"/>
        </w:rPr>
        <w:t xml:space="preserve">9. Limitations and Future Work</w:t>
      </w:r>
    </w:p>
    <w:p>
      <w:pPr>
        <w:spacing w:after="160" w:line="276"/>
      </w:pPr>
      <w:r>
        <w:rPr>
          <w:rFonts w:ascii="Calibri" w:cs="Calibri" w:eastAsia="Calibri" w:hAnsi="Calibri"/>
          <w:sz w:val="22"/>
          <w:szCs w:val="22"/>
        </w:rPr>
        <w:t xml:space="preserve">Part 1 deliberately keeps state in memory rather than introducing a database, since the brief's focus for this submission is the ingestion pipeline and dashboard rather than persistence; this is an explicit scope decision, not an oversight, and the Sensor/Telemetry repositories are already written behind interfaces (ISensorRepository, ITelemetryStore) specifically so a persistent implementation can be substituted later without touching the API or dashboard. The two remaining Smart-X pillars are intentionally stubbed as locked cards on the landing page: Part 2 (Real-Time Command Stream &amp; History) will extend the current HTTP polling-based live simulation toward a genuine push channel (most naturally SignalR, given the existing ASP.NET Core host), and the final PoE (Network Topology &amp; Mesh Routing) will build on the DeploymentNode tree already modelled in this submission to visualise and route across the mesh those nodes describe.</w:t>
      </w:r>
    </w:p>
    <w:p>
      <w:pPr>
        <w:pStyle w:val="Heading1"/>
        <w:spacing w:after="160" w:before="320"/>
      </w:pPr>
      <w:r>
        <w:rPr>
          <w:rFonts w:ascii="Calibri" w:cs="Calibri" w:eastAsia="Calibri" w:hAnsi="Calibri"/>
          <w:color w:val="1A3B5D"/>
        </w:rPr>
        <w:t xml:space="preserve">10. Conclusion</w:t>
      </w:r>
    </w:p>
    <w:p>
      <w:pPr>
        <w:spacing w:after="160" w:line="276"/>
      </w:pPr>
      <w:r>
        <w:rPr>
          <w:rFonts w:ascii="Calibri" w:cs="Calibri" w:eastAsia="Calibri" w:hAnsi="Calibri"/>
          <w:sz w:val="22"/>
          <w:szCs w:val="22"/>
        </w:rPr>
        <w:t xml:space="preserve">Smart-X's Part 1 submission treats the brief's four required C# constructs as design tools rather than checklist items: generics remove a real boxing cost from a high-throughput ingestion path; operator overloading is the actual arithmetic behind severity classification and load aggregation, not a cosmetic Meter3 = Meter1 + Meter2 demonstration; jagged and rectangular arrays are each used because they are the structurally correct shape for irregular per-device batches versus a fixed zone/time-slot grid respectively; and recursion is the only traversal strategy that scales to a deployment hierarchy of unknown depth. The resulting ingestion API and dashboard are grounded in the real constraints of ESP32-class edge devices and the protocol landscape they operate in, and are structured so that Parts 2 and 3 of the PoE can extend the same shared domain model rather than replace it.</w:t>
      </w:r>
    </w:p>
    <w:p>
      <w:pPr>
        <w:pStyle w:val="Heading1"/>
        <w:spacing w:after="160" w:before="320"/>
      </w:pPr>
      <w:r>
        <w:rPr>
          <w:rFonts w:ascii="Calibri" w:cs="Calibri" w:eastAsia="Calibri" w:hAnsi="Calibri"/>
          <w:color w:val="1A3B5D"/>
        </w:rPr>
        <w:t xml:space="preserve">References</w:t>
      </w:r>
    </w:p>
    <w:p>
      <w:pPr>
        <w:spacing w:after="160" w:line="276"/>
        <w:ind w:left="576" w:hanging="576"/>
      </w:pPr>
      <w:r>
        <w:rPr>
          <w:rFonts w:ascii="Calibri" w:cs="Calibri" w:eastAsia="Calibri" w:hAnsi="Calibri"/>
          <w:sz w:val="22"/>
          <w:szCs w:val="22"/>
        </w:rPr>
        <w:t xml:space="preserve">Espressif Systems. ESP32 Series Datasheet. Espressif Systems, latest revision. https://www.espressif.com/en/products/socs/esp32</w:t>
      </w:r>
    </w:p>
    <w:p>
      <w:pPr>
        <w:spacing w:after="160" w:line="276"/>
        <w:ind w:left="576" w:hanging="576"/>
      </w:pPr>
      <w:r>
        <w:rPr>
          <w:rFonts w:ascii="Calibri" w:cs="Calibri" w:eastAsia="Calibri" w:hAnsi="Calibri"/>
          <w:sz w:val="22"/>
          <w:szCs w:val="22"/>
        </w:rPr>
        <w:t xml:space="preserve">IETF. RFC 7252: The Constrained Application Protocol (CoAP). Internet Engineering Task Force, 2014. https://datatracker.ietf.org/doc/html/rfc7252</w:t>
      </w:r>
    </w:p>
    <w:p>
      <w:pPr>
        <w:spacing w:after="160" w:line="276"/>
        <w:ind w:left="576" w:hanging="576"/>
      </w:pPr>
      <w:r>
        <w:rPr>
          <w:rFonts w:ascii="Calibri" w:cs="Calibri" w:eastAsia="Calibri" w:hAnsi="Calibri"/>
          <w:sz w:val="22"/>
          <w:szCs w:val="22"/>
        </w:rPr>
        <w:t xml:space="preserve">OASIS. MQTT Version 5.0 Specification. OASIS Standard, 2019. https://docs.oasis-open.org/mqtt/mqtt/v5.0/mqtt-v5.0.html</w:t>
      </w:r>
    </w:p>
    <w:p>
      <w:pPr>
        <w:spacing w:after="160" w:line="276"/>
        <w:ind w:left="576" w:hanging="576"/>
      </w:pPr>
      <w:r>
        <w:rPr>
          <w:rFonts w:ascii="Calibri" w:cs="Calibri" w:eastAsia="Calibri" w:hAnsi="Calibri"/>
          <w:sz w:val="22"/>
          <w:szCs w:val="22"/>
        </w:rPr>
        <w:t xml:space="preserve">Microsoft. “Boxing and Unboxing (C# Programming Guide)” and “Generics (C# Programming Guide).” Microsoft Learn, .NET documentation. https://learn.microsoft.com/dotnet/csharp/programming-guide/</w:t>
      </w:r>
    </w:p>
    <w:p>
      <w:pPr>
        <w:spacing w:after="160" w:line="276"/>
        <w:ind w:left="576" w:hanging="576"/>
      </w:pPr>
      <w:r>
        <w:rPr>
          <w:rFonts w:ascii="Calibri" w:cs="Calibri" w:eastAsia="Calibri" w:hAnsi="Calibri"/>
          <w:sz w:val="22"/>
          <w:szCs w:val="22"/>
        </w:rPr>
        <w:t xml:space="preserve">Microsoft. ASP.NET Core Minimal APIs overview. Microsoft Learn. https://learn.microsoft.com/aspnet/core/fundamentals/minimal-apis</w:t>
      </w:r>
    </w:p>
    <w:p>
      <w:pPr>
        <w:spacing w:after="160" w:line="276"/>
        <w:ind w:left="576" w:hanging="576"/>
      </w:pPr>
      <w:r>
        <w:rPr>
          <w:rFonts w:ascii="Calibri" w:cs="Calibri" w:eastAsia="Calibri" w:hAnsi="Calibri"/>
          <w:sz w:val="22"/>
          <w:szCs w:val="22"/>
        </w:rPr>
        <w:t xml:space="preserve">Microsoft. ASP.NET Core Blazor WebAssembly overview. Microsoft Learn. https://learn.microsoft.com/aspnet/core/blazor/</w:t>
      </w:r>
    </w:p>
    <w:p>
      <w:pPr>
        <w:spacing w:after="160" w:line="276"/>
        <w:ind w:left="576" w:hanging="576"/>
      </w:pPr>
      <w:r>
        <w:rPr>
          <w:rFonts w:ascii="Calibri" w:cs="Calibri" w:eastAsia="Calibri" w:hAnsi="Calibri"/>
          <w:sz w:val="22"/>
          <w:szCs w:val="22"/>
        </w:rPr>
        <w:t xml:space="preserve">OWASP Foundation. File Upload Cheat Sheet. OWASP Cheat Sheet Series. https://cheatsheetseries.owasp.org/cheatsheets/File_Upload_Cheat_Sheet.html</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Smart-X Gateway — Research Paper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Smart-X Gateway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2026-09-07T10:04:46.103Z</dcterms:created>
  <dcterms:modified xsi:type="dcterms:W3CDTF">2026-09-07T10:04:46.104Z</dcterms:modified>
</cp:coreProperties>
</file>

<file path=docProps/custom.xml><?xml version="1.0" encoding="utf-8"?>
<Properties xmlns="http://schemas.openxmlformats.org/officeDocument/2006/custom-properties" xmlns:vt="http://schemas.openxmlformats.org/officeDocument/2006/docPropsVTypes"/>
</file>