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17 พฤศจิกายน 2559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หน่วยวิจัยเทคโนโลยีชีวภาพสัตว์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>2/2559</w:t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2/2559</w:t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2/2559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วันพฤหัสบดี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16 มิถุนายน 2559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>513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</w:t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>ไบโอเทค อุทยานวิทยาศาสตร์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>วันศุกร์</w:t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>2 ธันวาคม 2559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(นายศิราวุธ กลิ่นบุหงา)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 เลขานุการคณะอนุกรรมการบริหาร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>3117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>6707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