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31 สิงหาคม 2559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เมอร์ค จำกัด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2041164469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1 สิงหาคม 2559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000522517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26 สิงหาคม 2559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เมอร์ค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7,126.20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เจ็ดพันหนึ่งร้อยยี่สิบหกบาทยี่สิบสตางค์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18 สิงหาคม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15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30 สิงหาคม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12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171.03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หนึ่งร้อยเจ็ดสิบเอ็ดบาทสามสตางค์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2568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ชัยสิทธิ์ สิริมิลินท์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