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15 มีนาคม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วีระวัฒน์ แช่มปรีดา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หัวหน้าภาควิชาชีววิทยา มหาวิทยาลัยเชียงใหม่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มหาวิทยาลัยเชียงใหม่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6593(13.3)/ว.582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27 กุมภาพันธ์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มหาวิทยาลัยเชียงใหม่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ดร.วีระวัฒน์ แช่มปรีดา ผู้อำนวยการหน่วยวิจัยเทคโนโลยีชีวภาพจุลินทรีย์และชีวเคมีภัณฑ์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กรรมการผู้ทรงคุณวุฒิในการปรับปรุงหลักสูตรปรัชาดุษฎีบัณฑิต (หลักสูตรนานาชาติ) สาขาจุลชีววิทยาประยุกต์ พ.ศ. 2560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10:15 - 10:15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วีระวัฒน์ แช่มปรีดา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วีระวัฒน์ แช่มปรีดา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