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7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วิทยากรผู้ให้สัมมนา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ประธานหลักสูตรชีวสารสนเทศและชีววิทยาระบบ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หลักสูตรชีวสารสนเทศและชีววิทยาระบบ มหาวิทยาลัยเทคโนโลยีพระจอมเกล้าธนบุรี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5813.5/035-59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9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หลักสูตรชีวสารสนเทศและชีววิทยาระบบ มหาวิทยาลัยเทคโนโลยีพระจอมเกล้าธนบุรี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ดร.วีรวัฒน์ รังกุพันธุ์ นักวิจัย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วิทยากรโครงการสัมมนาวิชา BIF694 Seminar in Bioinformatics &amp; Systems Biology II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30 กันยายน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16:00 - 16:00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มหาวิทยาลัยเทคโนโลยีพระจอมเกล้าธนบุรี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นางสาว</w:t>
      </w:r>
      <w:r w:rsidRPr="00B84DE3">
        <w:rPr>
          <w:rFonts w:ascii="TH SarabunPSK" w:hAnsi="TH SarabunPSK" w:cs="TH SarabunPSK"/>
          <w:sz w:val="32"/>
          <w:szCs w:val="32"/>
        </w:rPr>
        <w:t>วีรวัฒน์ รังกุพันธุ์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6164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