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       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10 มกราคม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ห้างหุ้นส่วนจำกัด วอร์ด เมดิก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23,754.00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สองหมื่นสามพันเจ็ดร้อยห้าสิบสี่บาทถ้วน)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30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45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5 มกราคม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60010012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5 มกราคม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285.05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สองร้อยแปดสิบห้าบาทห้าสตางค์)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