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2559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2557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2560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2558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2559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5621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