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2559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2557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2560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2558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2559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6164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