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5 มิถุนายน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บริษัท เอส.เอ็ม. 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 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6,933.60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หกพันเก้าร้อยสามสิบสามบาทหกสิบสตางค์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4 มิถุนายน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2041172225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28 กุมภาพันธ์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90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5 มิถุนายน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13.87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สิบสามบาทแปดสิบเจ็ดสตางค์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นางกชกร วงค์กระสัน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3106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