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C7595" w:rsidRPr="000C7595" w:rsidRDefault="000F3C57" w:rsidP="000C7595">
      <w:pPr>
        <w:jc w:val="center"/>
        <w:rPr>
          <w:lang w:val="en-US"/>
        </w:rPr>
      </w:pPr>
      <w:r>
        <w:rPr>
          <w:lang w:val="en-US"/>
        </w:rPr>
        <w:t>Borderline cases of phenomenology</w:t>
      </w:r>
    </w:p>
    <w:p w:rsidR="000C7595" w:rsidRDefault="000C7595" w:rsidP="000C7595">
      <w:pPr>
        <w:jc w:val="center"/>
        <w:rPr>
          <w:lang w:val="en-US"/>
        </w:rPr>
      </w:pPr>
      <w:r w:rsidRPr="000C7595">
        <w:rPr>
          <w:lang w:val="en-US"/>
        </w:rPr>
        <w:t>IV Reflections on Ethics in the Freiburg Years</w:t>
      </w:r>
    </w:p>
    <w:p w:rsidR="000C7595" w:rsidRDefault="000C7595" w:rsidP="000C7595">
      <w:pPr>
        <w:jc w:val="center"/>
        <w:rPr>
          <w:lang w:val="en-US"/>
        </w:rPr>
      </w:pPr>
      <w:r>
        <w:rPr>
          <w:lang w:val="en-US"/>
        </w:rPr>
        <w:t>Appendix XXXII</w:t>
      </w:r>
    </w:p>
    <w:p w:rsidR="000C7595" w:rsidRDefault="000C7595" w:rsidP="000C7595">
      <w:pPr>
        <w:jc w:val="center"/>
        <w:rPr>
          <w:lang w:val="en-US"/>
        </w:rPr>
      </w:pPr>
      <w:r>
        <w:rPr>
          <w:lang w:val="en-US"/>
        </w:rPr>
        <w:t>&lt;Absolute obligation and absolute love&gt;</w:t>
      </w:r>
      <w:r>
        <w:rPr>
          <w:rStyle w:val="Funotenzeichen"/>
          <w:lang w:val="en-US"/>
        </w:rPr>
        <w:footnoteReference w:id="0"/>
      </w:r>
    </w:p>
    <w:p w:rsidR="000C7595" w:rsidRDefault="00FD135E" w:rsidP="000C7595">
      <w:pPr>
        <w:rPr>
          <w:lang w:val="en-US"/>
        </w:rPr>
      </w:pPr>
      <w:r>
        <w:rPr>
          <w:lang w:val="en-US"/>
        </w:rPr>
        <w:t>&lt;</w:t>
      </w:r>
      <w:r w:rsidR="000C7595">
        <w:rPr>
          <w:lang w:val="en-US"/>
        </w:rPr>
        <w:t>On</w:t>
      </w:r>
      <w:r>
        <w:rPr>
          <w:lang w:val="en-US"/>
        </w:rPr>
        <w:t>&gt;</w:t>
      </w:r>
      <w:r w:rsidR="000C7595">
        <w:rPr>
          <w:lang w:val="en-US"/>
        </w:rPr>
        <w:t xml:space="preserve"> </w:t>
      </w:r>
      <w:proofErr w:type="spellStart"/>
      <w:r w:rsidR="000C7595">
        <w:rPr>
          <w:lang w:val="en-US"/>
        </w:rPr>
        <w:t>Scheler’s</w:t>
      </w:r>
      <w:proofErr w:type="spellEnd"/>
      <w:r w:rsidR="000C7595">
        <w:rPr>
          <w:lang w:val="en-US"/>
        </w:rPr>
        <w:t xml:space="preserve"> preferring without any comparison:</w:t>
      </w:r>
    </w:p>
    <w:p w:rsidR="006F7CBA" w:rsidRDefault="000C7595" w:rsidP="000C7595">
      <w:pPr>
        <w:rPr>
          <w:lang w:val="en-US"/>
        </w:rPr>
      </w:pPr>
      <w:r>
        <w:rPr>
          <w:lang w:val="en-US"/>
        </w:rPr>
        <w:t xml:space="preserve">“Some content is </w:t>
      </w:r>
      <w:r w:rsidR="00FD135E">
        <w:rPr>
          <w:lang w:val="en-US"/>
        </w:rPr>
        <w:t>grasped</w:t>
      </w:r>
      <w:r>
        <w:rPr>
          <w:lang w:val="en-US"/>
        </w:rPr>
        <w:t xml:space="preserve"> as the best possible in this preferring, and</w:t>
      </w:r>
      <w:r w:rsidR="003B0B41">
        <w:rPr>
          <w:lang w:val="en-US"/>
        </w:rPr>
        <w:t xml:space="preserve"> a value-</w:t>
      </w:r>
      <w:r>
        <w:rPr>
          <w:lang w:val="en-US"/>
        </w:rPr>
        <w:t xml:space="preserve">answer is </w:t>
      </w:r>
      <w:r w:rsidR="00FD135E">
        <w:rPr>
          <w:lang w:val="en-US"/>
        </w:rPr>
        <w:t>directed at</w:t>
      </w:r>
      <w:r>
        <w:rPr>
          <w:lang w:val="en-US"/>
        </w:rPr>
        <w:t xml:space="preserve"> it as the best. I can love someone with the evidence that I could never love anyone else in the same way </w:t>
      </w:r>
      <w:r w:rsidR="006F7CBA">
        <w:rPr>
          <w:lang w:val="en-US"/>
        </w:rPr>
        <w:t xml:space="preserve">– or be enthusiastic about something beautiful [344] with the evidence that nothing </w:t>
      </w:r>
      <w:r w:rsidR="003B0B41">
        <w:rPr>
          <w:lang w:val="en-US"/>
        </w:rPr>
        <w:t xml:space="preserve">more </w:t>
      </w:r>
      <w:r w:rsidR="006F7CBA">
        <w:rPr>
          <w:lang w:val="en-US"/>
        </w:rPr>
        <w:t>beautiful could exist, making me more enthusiastic.”</w:t>
      </w:r>
      <w:r w:rsidR="006F7CBA">
        <w:rPr>
          <w:rStyle w:val="Funotenzeichen"/>
          <w:lang w:val="en-US"/>
        </w:rPr>
        <w:footnoteReference w:id="1"/>
      </w:r>
      <w:r w:rsidR="006F7CBA">
        <w:rPr>
          <w:lang w:val="en-US"/>
        </w:rPr>
        <w:t xml:space="preserve"> </w:t>
      </w:r>
    </w:p>
    <w:p w:rsidR="006C29F1" w:rsidRDefault="006F7CBA" w:rsidP="000C7595">
      <w:pPr>
        <w:rPr>
          <w:lang w:val="en-US"/>
        </w:rPr>
      </w:pPr>
      <w:r>
        <w:rPr>
          <w:lang w:val="en-US"/>
        </w:rPr>
        <w:t xml:space="preserve">This “preferring without any comparison” anyway is explained by comparison here. But what is </w:t>
      </w:r>
      <w:r w:rsidR="003B0B41">
        <w:rPr>
          <w:lang w:val="en-US"/>
        </w:rPr>
        <w:t>indicated</w:t>
      </w:r>
      <w:r>
        <w:rPr>
          <w:lang w:val="en-US"/>
        </w:rPr>
        <w:t xml:space="preserve"> here is a certain evident (or </w:t>
      </w:r>
      <w:r w:rsidR="003B0B41">
        <w:rPr>
          <w:lang w:val="en-US"/>
        </w:rPr>
        <w:t>supposed</w:t>
      </w:r>
      <w:r>
        <w:rPr>
          <w:lang w:val="en-US"/>
        </w:rPr>
        <w:t>) a</w:t>
      </w:r>
      <w:r w:rsidR="003B0B41">
        <w:rPr>
          <w:lang w:val="en-US"/>
        </w:rPr>
        <w:t>bsoluteness, having its analogue</w:t>
      </w:r>
      <w:r>
        <w:rPr>
          <w:lang w:val="en-US"/>
        </w:rPr>
        <w:t xml:space="preserve"> in the absolute obligation. </w:t>
      </w:r>
      <w:r w:rsidR="003B0B41">
        <w:rPr>
          <w:lang w:val="en-US"/>
        </w:rPr>
        <w:t>A</w:t>
      </w:r>
      <w:r>
        <w:rPr>
          <w:lang w:val="en-US"/>
        </w:rPr>
        <w:t xml:space="preserve"> mother</w:t>
      </w:r>
      <w:r w:rsidR="003B0B41">
        <w:rPr>
          <w:lang w:val="en-US"/>
        </w:rPr>
        <w:t xml:space="preserve"> for example</w:t>
      </w:r>
      <w:r>
        <w:rPr>
          <w:lang w:val="en-US"/>
        </w:rPr>
        <w:t xml:space="preserve"> saving her child is absolutely certain without any categorical imperative that she should do this and nothing else. And likewise might someone else be certain t</w:t>
      </w:r>
      <w:r w:rsidR="003B0B41">
        <w:rPr>
          <w:lang w:val="en-US"/>
        </w:rPr>
        <w:t>hat he loves someone in a unique</w:t>
      </w:r>
      <w:r>
        <w:rPr>
          <w:lang w:val="en-US"/>
        </w:rPr>
        <w:t xml:space="preserve"> way, </w:t>
      </w:r>
      <w:r w:rsidR="003B0B41">
        <w:rPr>
          <w:lang w:val="en-US"/>
        </w:rPr>
        <w:t>with</w:t>
      </w:r>
      <w:r>
        <w:rPr>
          <w:lang w:val="en-US"/>
        </w:rPr>
        <w:t xml:space="preserve"> some absoluteness </w:t>
      </w:r>
      <w:r w:rsidR="003B0B41">
        <w:rPr>
          <w:lang w:val="en-US"/>
        </w:rPr>
        <w:t xml:space="preserve">being </w:t>
      </w:r>
      <w:r w:rsidR="008A335E">
        <w:rPr>
          <w:lang w:val="en-US"/>
        </w:rPr>
        <w:t xml:space="preserve">implied </w:t>
      </w:r>
      <w:r w:rsidR="003B0B41">
        <w:rPr>
          <w:lang w:val="en-US"/>
        </w:rPr>
        <w:t xml:space="preserve">within </w:t>
      </w:r>
      <w:r>
        <w:rPr>
          <w:lang w:val="en-US"/>
        </w:rPr>
        <w:t xml:space="preserve">love prior to all comparison. </w:t>
      </w:r>
      <w:r w:rsidR="008A335E">
        <w:rPr>
          <w:lang w:val="en-US"/>
        </w:rPr>
        <w:t>It might be said</w:t>
      </w:r>
      <w:r>
        <w:rPr>
          <w:lang w:val="en-US"/>
        </w:rPr>
        <w:t xml:space="preserve"> here: love is not a momentary act, but a lastingly-deciding-oneself-for-a-person. I can decide for </w:t>
      </w:r>
      <w:r w:rsidR="008A335E">
        <w:rPr>
          <w:lang w:val="en-US"/>
        </w:rPr>
        <w:t>several</w:t>
      </w:r>
      <w:r>
        <w:rPr>
          <w:lang w:val="en-US"/>
        </w:rPr>
        <w:t xml:space="preserve"> persons in this way, and thus I can love many persons at the same time (related to my life horizon, not excluding later abandonment). But there is the “</w:t>
      </w:r>
      <w:r w:rsidR="008A335E">
        <w:rPr>
          <w:lang w:val="en-US"/>
        </w:rPr>
        <w:t>unique</w:t>
      </w:r>
      <w:r>
        <w:rPr>
          <w:lang w:val="en-US"/>
        </w:rPr>
        <w:t xml:space="preserve"> love”</w:t>
      </w:r>
      <w:r w:rsidR="006C29F1">
        <w:rPr>
          <w:lang w:val="en-US"/>
        </w:rPr>
        <w:t xml:space="preserve"> in contrast to these loves, searching and wishing for a similar </w:t>
      </w:r>
      <w:r w:rsidR="008A335E">
        <w:rPr>
          <w:lang w:val="en-US"/>
        </w:rPr>
        <w:t>requited</w:t>
      </w:r>
      <w:r w:rsidR="006C29F1">
        <w:rPr>
          <w:lang w:val="en-US"/>
        </w:rPr>
        <w:t xml:space="preserve"> love – a complete becoming one with the loved one or knowing-oneself-to-be-one, a “having taken him completely into the proper Ego, and having completely combine</w:t>
      </w:r>
      <w:r w:rsidR="008A335E">
        <w:rPr>
          <w:lang w:val="en-US"/>
        </w:rPr>
        <w:t>d his Ego with the other one”, (</w:t>
      </w:r>
      <w:r w:rsidR="006C29F1">
        <w:rPr>
          <w:lang w:val="en-US"/>
        </w:rPr>
        <w:t xml:space="preserve">a love), excluding every comparison </w:t>
      </w:r>
      <w:r w:rsidR="008A335E">
        <w:rPr>
          <w:lang w:val="en-US"/>
        </w:rPr>
        <w:t>for the sake of this completeness.</w:t>
      </w:r>
      <w:r w:rsidR="006C29F1">
        <w:rPr>
          <w:lang w:val="en-US"/>
        </w:rPr>
        <w:t xml:space="preserve"> I have entirely “devoted” myself, and I can do this only to one [person]. Of course </w:t>
      </w:r>
      <w:r w:rsidR="001A3070">
        <w:rPr>
          <w:lang w:val="en-US"/>
        </w:rPr>
        <w:t>there</w:t>
      </w:r>
      <w:r w:rsidR="006C29F1">
        <w:rPr>
          <w:lang w:val="en-US"/>
        </w:rPr>
        <w:t xml:space="preserve"> </w:t>
      </w:r>
      <w:r w:rsidR="001A3070">
        <w:rPr>
          <w:lang w:val="en-US"/>
        </w:rPr>
        <w:t>is a</w:t>
      </w:r>
      <w:r w:rsidR="006C29F1">
        <w:rPr>
          <w:lang w:val="en-US"/>
        </w:rPr>
        <w:t xml:space="preserve"> problem. You can </w:t>
      </w:r>
      <w:r w:rsidR="001A3070">
        <w:rPr>
          <w:lang w:val="en-US"/>
        </w:rPr>
        <w:t>get lost</w:t>
      </w:r>
      <w:r w:rsidR="006C29F1">
        <w:rPr>
          <w:lang w:val="en-US"/>
        </w:rPr>
        <w:t xml:space="preserve"> completely, and you can devote yourself quite freely; and it may be asked, whether this is allowed, whether it is something right, the right love, whether </w:t>
      </w:r>
      <w:r w:rsidR="001A3070">
        <w:rPr>
          <w:lang w:val="en-US"/>
        </w:rPr>
        <w:t xml:space="preserve">it is rather allowed </w:t>
      </w:r>
      <w:r w:rsidR="006C29F1">
        <w:rPr>
          <w:lang w:val="en-US"/>
        </w:rPr>
        <w:t>to only devote yourself</w:t>
      </w:r>
      <w:r w:rsidR="001A3070">
        <w:rPr>
          <w:lang w:val="en-US"/>
        </w:rPr>
        <w:t xml:space="preserve"> completely</w:t>
      </w:r>
      <w:r w:rsidR="006C29F1">
        <w:rPr>
          <w:lang w:val="en-US"/>
        </w:rPr>
        <w:t xml:space="preserve"> to God in such love, and then </w:t>
      </w:r>
      <w:r w:rsidR="001A3070">
        <w:rPr>
          <w:lang w:val="en-US"/>
        </w:rPr>
        <w:t xml:space="preserve">devote yourself </w:t>
      </w:r>
      <w:r w:rsidR="006C29F1">
        <w:rPr>
          <w:lang w:val="en-US"/>
        </w:rPr>
        <w:t>forever, etc.</w:t>
      </w:r>
    </w:p>
    <w:p w:rsidR="000C7595" w:rsidRPr="000C7595" w:rsidRDefault="001A3070" w:rsidP="000C7595">
      <w:pPr>
        <w:rPr>
          <w:lang w:val="en-US"/>
        </w:rPr>
      </w:pPr>
      <w:r>
        <w:rPr>
          <w:lang w:val="en-US"/>
        </w:rPr>
        <w:t>Likewise</w:t>
      </w:r>
      <w:r w:rsidR="006C29F1">
        <w:rPr>
          <w:lang w:val="en-US"/>
        </w:rPr>
        <w:t xml:space="preserve"> the question, whether there is an absolute practical obligation without any comparison, etc.</w:t>
      </w:r>
    </w:p>
    <w:sectPr w:rsidR="000C7595" w:rsidRPr="000C7595" w:rsidSect="000C759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1A3070" w:rsidRDefault="001A3070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1920.- </w:t>
      </w:r>
      <w:proofErr w:type="spellStart"/>
      <w:r>
        <w:t>Editor’s</w:t>
      </w:r>
      <w:proofErr w:type="spellEnd"/>
      <w:r>
        <w:t xml:space="preserve"> </w:t>
      </w:r>
      <w:proofErr w:type="spellStart"/>
      <w:r>
        <w:t>note</w:t>
      </w:r>
      <w:proofErr w:type="spellEnd"/>
      <w:r>
        <w:t>.</w:t>
      </w:r>
    </w:p>
  </w:footnote>
  <w:footnote w:id="1">
    <w:p w:rsidR="001A3070" w:rsidRDefault="001A3070">
      <w:pPr>
        <w:pStyle w:val="Funotentext"/>
      </w:pPr>
      <w:r>
        <w:rPr>
          <w:rStyle w:val="Funotenzeichen"/>
        </w:rPr>
        <w:footnoteRef/>
      </w:r>
      <w:r>
        <w:t xml:space="preserve"> Dietrich von Hildebrand, </w:t>
      </w:r>
      <w:r w:rsidRPr="003B0B41">
        <w:rPr>
          <w:i/>
        </w:rPr>
        <w:t>Die Idee der sittlichen Handlung</w:t>
      </w:r>
      <w:r>
        <w:t xml:space="preserve">, Jahrbuch für Philosophie und phänomenologische Forschung, Band III (1916), </w:t>
      </w:r>
      <w:proofErr w:type="spellStart"/>
      <w:r>
        <w:t>page</w:t>
      </w:r>
      <w:proofErr w:type="spellEnd"/>
      <w:r>
        <w:t xml:space="preserve"> 228, </w:t>
      </w:r>
      <w:proofErr w:type="spellStart"/>
      <w:r>
        <w:t>note</w:t>
      </w:r>
      <w:proofErr w:type="spellEnd"/>
      <w:r>
        <w:t xml:space="preserve">. – </w:t>
      </w:r>
      <w:proofErr w:type="spellStart"/>
      <w:r>
        <w:t>Editor’s</w:t>
      </w:r>
      <w:proofErr w:type="spellEnd"/>
      <w:r>
        <w:t xml:space="preserve"> </w:t>
      </w:r>
      <w:proofErr w:type="spellStart"/>
      <w:r>
        <w:t>note</w:t>
      </w:r>
      <w:proofErr w:type="spellEnd"/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C7595"/>
    <w:rsid w:val="000C7595"/>
    <w:rsid w:val="000F3C57"/>
    <w:rsid w:val="001A3070"/>
    <w:rsid w:val="002E2A55"/>
    <w:rsid w:val="003B0B41"/>
    <w:rsid w:val="006C29F1"/>
    <w:rsid w:val="006F7CBA"/>
    <w:rsid w:val="008A335E"/>
    <w:rsid w:val="00D10B65"/>
    <w:rsid w:val="00FD135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21A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360" w:lineRule="exact"/>
      <w:ind w:firstLine="284"/>
      <w:jc w:val="both"/>
    </w:pPr>
    <w:rPr>
      <w:sz w:val="24"/>
      <w:szCs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2F4E08"/>
  </w:style>
  <w:style w:type="paragraph" w:styleId="Funotentext">
    <w:name w:val="footnote text"/>
    <w:basedOn w:val="Standard"/>
    <w:rsid w:val="00297A69"/>
    <w:pPr>
      <w:spacing w:line="240" w:lineRule="auto"/>
      <w:ind w:firstLine="0"/>
    </w:pPr>
    <w:rPr>
      <w:rFonts w:ascii="Times" w:eastAsia="Times" w:hAnsi="Times"/>
      <w:sz w:val="20"/>
      <w:szCs w:val="20"/>
    </w:rPr>
  </w:style>
  <w:style w:type="paragraph" w:styleId="Sprechblasentext">
    <w:name w:val="Balloon Text"/>
    <w:basedOn w:val="Standard"/>
    <w:semiHidden/>
    <w:rsid w:val="00297A69"/>
    <w:rPr>
      <w:rFonts w:ascii="Lucida Grande" w:hAnsi="Lucida Grande"/>
      <w:sz w:val="18"/>
      <w:szCs w:val="18"/>
    </w:rPr>
  </w:style>
  <w:style w:type="paragraph" w:customStyle="1" w:styleId="ZitatLukianbuch">
    <w:name w:val="Zitat Lukianbuch"/>
    <w:basedOn w:val="Standard"/>
    <w:autoRedefine/>
    <w:rsid w:val="00BC3F0C"/>
    <w:pPr>
      <w:keepLines/>
      <w:widowControl/>
      <w:spacing w:before="120" w:after="120" w:line="200" w:lineRule="exact"/>
      <w:ind w:left="2268" w:firstLine="0"/>
    </w:pPr>
    <w:rPr>
      <w:sz w:val="20"/>
    </w:rPr>
  </w:style>
  <w:style w:type="paragraph" w:customStyle="1" w:styleId="DetailanalysenLukian">
    <w:name w:val="Detailanalysen Lukian"/>
    <w:basedOn w:val="Standard"/>
    <w:autoRedefine/>
    <w:rsid w:val="00BC3F0C"/>
    <w:pPr>
      <w:spacing w:before="120" w:after="120" w:line="200" w:lineRule="exact"/>
      <w:ind w:left="1134" w:firstLine="0"/>
    </w:pPr>
    <w:rPr>
      <w:sz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0C759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Word 12.1.0</Application>
  <DocSecurity>0</DocSecurity>
  <Lines>14</Lines>
  <Paragraphs>3</Paragraphs>
  <ScaleCrop>false</ScaleCrop>
  <Company>Klassische Philologie, Univ. Gießen</Company>
  <LinksUpToDate>false</LinksUpToDate>
  <CharactersWithSpaces>2157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v. Möllendorff</dc:creator>
  <cp:keywords/>
  <cp:lastModifiedBy>Peter v. Möllendorff</cp:lastModifiedBy>
  <cp:revision>2</cp:revision>
  <dcterms:created xsi:type="dcterms:W3CDTF">2014-11-12T08:18:00Z</dcterms:created>
  <dcterms:modified xsi:type="dcterms:W3CDTF">2014-11-12T08:18:00Z</dcterms:modified>
</cp:coreProperties>
</file>