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color w:val="2f5496"/>
          <w:sz w:val="36"/>
          <w:szCs w:val="36"/>
        </w:rPr>
      </w:pPr>
      <w:r w:rsidDel="00000000" w:rsidR="00000000" w:rsidRPr="00000000">
        <w:rPr>
          <w:rFonts w:ascii="Calibri" w:cs="Calibri" w:eastAsia="Calibri" w:hAnsi="Calibri"/>
          <w:color w:val="2f5496"/>
          <w:sz w:val="36"/>
          <w:szCs w:val="36"/>
          <w:rtl w:val="0"/>
        </w:rPr>
        <w:t xml:space="preserve">Significance of Network Security Policies in Companies and Government Organizations</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Comprehensive Guide to Establishing and Maintaining Secure Network Environments</w:t>
      </w:r>
    </w:p>
    <w:p w:rsidR="00000000" w:rsidDel="00000000" w:rsidP="00000000" w:rsidRDefault="00000000" w:rsidRPr="00000000" w14:paraId="00000004">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Cyber Security </w:t>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Rickardo Brown, St Patrick Currey </w:t>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1/05/2023</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Two different types of firewalls are packet-filtering firewalls and application-aware firewalls.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Packet-filtering firewalls inspect packets based on certain criteria such as source and destination IP addresses, ports, and protocols. They make decisions to permit or deny traffic based on predefined rules. Packet-filtering firewalls are usually implemented at the network layer, which makes them fast and efficient, but they lack the ability to inspect the content of packets beyond the header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Application-aware firewalls, also known as next-generation firewalls, have the ability to inspect and analyze the content of packets in addition to the header information. They can identify specific applications and protocols and enforce security policies based on the application and user context. Application-aware firewalls operate at the application layer, providing better security by allowing for granular control of traffic, but they can be more resource-intensive and expensive to implement.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Packet-filtering firewalls are often used in smaller networks, such as home networks or small businesses, where their simplicity and speed are sufficient for the needs of the network. Application-aware firewalls are commonly used in larger organizations, where the network is more complex and there is a need for more sophisticated security controls.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Best practices for firewall implementation and management include the following: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Define a clear security policy: Before implementing a firewall, define a clear security policy that outlines the organization's security goals, identifies assets to be protected, and defines acceptable use policies.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Keep firewalls up-to-date: Regularly update firewall software and firmware to ensure that security vulnerabilities are addressed.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 default deny policies: Configure firewalls with a default deny policy that blocks all traffic except for authorized traffic.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Limit access to the firewall: Restrict access to the firewall to authorized personnel only, and use strong authentication and authorization controls.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Monitor firewall logs: Regularly review firewall logs for signs of unauthorized access or suspicious activity.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Implement redundancy: Use redundant firewalls to ensure continuous availability and protection against hardware failures.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Secure the firewall itself: Apply security controls to the firewall itself, including operating system hardening, access control, and regular vulnerability scanning.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conclusion, choosing the right type of firewall for a network depends on the network's complexity and security needs. Implementing and managing firewalls require careful planning and best practices to ensure that the network is secure and protected from potential threats.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