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0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lastRenderedPageBreak/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 xml:space="preserve">Параметр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>
        <w:t>запускает командную строку. Для разных ОС используются разные параметры.</w:t>
      </w:r>
    </w:p>
    <w:p w:rsidR="00F04E7F" w:rsidRPr="001E1242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1" w:history="1">
        <w:r w:rsidRPr="0016323E">
          <w:rPr>
            <w:rStyle w:val="a6"/>
          </w:rPr>
          <w:t>тут</w:t>
        </w:r>
      </w:hyperlink>
      <w:r>
        <w:t>.</w:t>
      </w:r>
    </w:p>
    <w:p w:rsidR="00FA5A77" w:rsidRDefault="00FA5A77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2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lastRenderedPageBreak/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  <w:bookmarkStart w:id="0" w:name="_GoBack"/>
      <w:bookmarkEnd w:id="0"/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lastRenderedPageBreak/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4956FF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driver: 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4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lastRenderedPageBreak/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lastRenderedPageBreak/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6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E2F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storage/volum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s.opengroup.org/onlinepubs/9699919799/utilities/kil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engine/reference/commandline/contain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ub.docker.com/_/amazoncorretto?tab=ta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ring.io/guides/gs/multi-modu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60FD-9ECD-488A-80A9-A4798102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38871</TotalTime>
  <Pages>8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5910</cp:revision>
  <dcterms:created xsi:type="dcterms:W3CDTF">2021-04-05T19:35:00Z</dcterms:created>
  <dcterms:modified xsi:type="dcterms:W3CDTF">2023-08-11T12:49:00Z</dcterms:modified>
</cp:coreProperties>
</file>