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rPr/>
      </w:pPr>
      <w:r>
        <w:rPr>
          <w:b/>
          <w:bCs/>
          <w:color w:val="1A1A19"/>
          <w:sz w:val="32"/>
          <w:szCs w:val="32"/>
        </w:rPr>
        <w:t>INSPECT EHR — LightGBM 5-Fold CV Results</w:t>
      </w:r>
    </w:p>
    <w:p>
      <w:pPr>
        <w:pStyle w:val="Normal"/>
        <w:spacing w:before="0" w:after="400"/>
        <w:rPr/>
      </w:pPr>
      <w:r>
        <w:rPr>
          <w:i/>
          <w:iCs/>
          <w:color w:val="888780"/>
          <w:sz w:val="17"/>
          <w:szCs w:val="17"/>
        </w:rPr>
        <w:t>All values are mean ± SD across 5 folds unless otherwise noted. Endpoints: PE = pulmonary embolism; PH = pulmonary hypertension. Optimised threshold selected by Youden's J on the validation set and applied to the test set.</w:t>
      </w:r>
    </w:p>
    <w:p>
      <w:pPr>
        <w:pStyle w:val="Normal"/>
        <w:spacing w:before="400" w:after="120"/>
        <w:rPr/>
      </w:pPr>
      <w:r>
        <w:rPr>
          <w:b/>
          <w:bCs/>
          <w:color w:val="1A1A19"/>
          <w:sz w:val="24"/>
          <w:szCs w:val="24"/>
        </w:rPr>
        <w:t>Table 1 — Cohort &amp; Split Sizes</w:t>
      </w:r>
    </w:p>
    <w:tbl>
      <w:tblPr>
        <w:tblW w:w="144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2200"/>
        <w:gridCol w:w="1400"/>
        <w:gridCol w:w="1800"/>
        <w:gridCol w:w="1399"/>
        <w:gridCol w:w="2401"/>
        <w:gridCol w:w="2400"/>
        <w:gridCol w:w="2800"/>
      </w:tblGrid>
      <w:tr>
        <w:trPr>
          <w:tblHeader w:val="true"/>
          <w:trHeight w:val="600" w:hRule="atLeast"/>
        </w:trPr>
        <w:tc>
          <w:tcPr>
            <w:tcW w:w="2200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400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Total N</w:t>
            </w:r>
          </w:p>
        </w:tc>
        <w:tc>
          <w:tcPr>
            <w:tcW w:w="1800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Positives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n (%)</w:t>
            </w:r>
          </w:p>
        </w:tc>
        <w:tc>
          <w:tcPr>
            <w:tcW w:w="1399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Negatives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n</w:t>
            </w:r>
          </w:p>
        </w:tc>
        <w:tc>
          <w:tcPr>
            <w:tcW w:w="2401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Train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mean (range)</w:t>
            </w:r>
          </w:p>
        </w:tc>
        <w:tc>
          <w:tcPr>
            <w:tcW w:w="2400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Validation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mean (range)</w:t>
            </w:r>
          </w:p>
        </w:tc>
        <w:tc>
          <w:tcPr>
            <w:tcW w:w="2800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Test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mean (range)</w:t>
            </w:r>
          </w:p>
        </w:tc>
      </w:tr>
      <w:tr>
        <w:trPr>
          <w:trHeight w:val="320" w:hRule="atLeast"/>
        </w:trPr>
        <w:tc>
          <w:tcPr>
            <w:tcW w:w="2200" w:type="dxa"/>
            <w:tcBorders/>
            <w:shd w:color="auto" w:fill="EB6834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00" w:type="dxa"/>
            <w:gridSpan w:val="6"/>
            <w:tcBorders/>
            <w:shd w:color="auto" w:fill="F4F3F0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color w:val="5F5E5A"/>
                <w:sz w:val="16"/>
                <w:szCs w:val="16"/>
              </w:rPr>
              <w:t>PULMONARY EMBOLISM</w:t>
            </w:r>
          </w:p>
        </w:tc>
      </w:tr>
      <w:tr>
        <w:trPr>
          <w:trHeight w:val="520" w:hRule="atLeast"/>
        </w:trPr>
        <w:tc>
          <w:tcPr>
            <w:tcW w:w="22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PE</w:t>
            </w:r>
          </w:p>
        </w:tc>
        <w:tc>
          <w:tcPr>
            <w:tcW w:w="14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22,457</w:t>
            </w:r>
          </w:p>
        </w:tc>
        <w:tc>
          <w:tcPr>
            <w:tcW w:w="18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4,503 (20.1%)</w:t>
            </w:r>
          </w:p>
        </w:tc>
        <w:tc>
          <w:tcPr>
            <w:tcW w:w="13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17,954</w:t>
            </w:r>
          </w:p>
        </w:tc>
        <w:tc>
          <w:tcPr>
            <w:tcW w:w="2401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13,474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105)</w:t>
            </w:r>
          </w:p>
        </w:tc>
        <w:tc>
          <w:tcPr>
            <w:tcW w:w="24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4,491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77)</w:t>
            </w:r>
          </w:p>
        </w:tc>
        <w:tc>
          <w:tcPr>
            <w:tcW w:w="28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4,491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77)</w:t>
            </w:r>
          </w:p>
        </w:tc>
      </w:tr>
      <w:tr>
        <w:trPr>
          <w:trHeight w:val="320" w:hRule="atLeast"/>
        </w:trPr>
        <w:tc>
          <w:tcPr>
            <w:tcW w:w="2200" w:type="dxa"/>
            <w:tcBorders/>
            <w:shd w:color="auto" w:fill="2A78D6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00" w:type="dxa"/>
            <w:gridSpan w:val="6"/>
            <w:tcBorders/>
            <w:shd w:color="auto" w:fill="F4F3F0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color w:val="5F5E5A"/>
                <w:sz w:val="16"/>
                <w:szCs w:val="16"/>
              </w:rPr>
              <w:t>MORTALITY</w:t>
            </w:r>
          </w:p>
        </w:tc>
      </w:tr>
      <w:tr>
        <w:trPr>
          <w:trHeight w:val="520" w:hRule="atLeast"/>
        </w:trPr>
        <w:tc>
          <w:tcPr>
            <w:tcW w:w="22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1-month</w:t>
            </w:r>
          </w:p>
        </w:tc>
        <w:tc>
          <w:tcPr>
            <w:tcW w:w="14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21,276</w:t>
            </w:r>
          </w:p>
        </w:tc>
        <w:tc>
          <w:tcPr>
            <w:tcW w:w="18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1,143 (5.4%)</w:t>
            </w:r>
          </w:p>
        </w:tc>
        <w:tc>
          <w:tcPr>
            <w:tcW w:w="13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20,133</w:t>
            </w:r>
          </w:p>
        </w:tc>
        <w:tc>
          <w:tcPr>
            <w:tcW w:w="2401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12,765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96)</w:t>
            </w:r>
          </w:p>
        </w:tc>
        <w:tc>
          <w:tcPr>
            <w:tcW w:w="24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4,255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79)</w:t>
            </w:r>
          </w:p>
        </w:tc>
        <w:tc>
          <w:tcPr>
            <w:tcW w:w="28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4,255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79)</w:t>
            </w:r>
          </w:p>
        </w:tc>
      </w:tr>
      <w:tr>
        <w:trPr>
          <w:trHeight w:val="520" w:hRule="atLeast"/>
        </w:trPr>
        <w:tc>
          <w:tcPr>
            <w:tcW w:w="22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6-month</w:t>
            </w:r>
          </w:p>
        </w:tc>
        <w:tc>
          <w:tcPr>
            <w:tcW w:w="14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20,275</w:t>
            </w:r>
          </w:p>
        </w:tc>
        <w:tc>
          <w:tcPr>
            <w:tcW w:w="18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2,302 (11.4%)</w:t>
            </w:r>
          </w:p>
        </w:tc>
        <w:tc>
          <w:tcPr>
            <w:tcW w:w="13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17,973</w:t>
            </w:r>
          </w:p>
        </w:tc>
        <w:tc>
          <w:tcPr>
            <w:tcW w:w="2401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12,165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71)</w:t>
            </w:r>
          </w:p>
        </w:tc>
        <w:tc>
          <w:tcPr>
            <w:tcW w:w="24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4,055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77)</w:t>
            </w:r>
          </w:p>
        </w:tc>
        <w:tc>
          <w:tcPr>
            <w:tcW w:w="28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4,055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77)</w:t>
            </w:r>
          </w:p>
        </w:tc>
      </w:tr>
      <w:tr>
        <w:trPr>
          <w:trHeight w:val="520" w:hRule="atLeast"/>
        </w:trPr>
        <w:tc>
          <w:tcPr>
            <w:tcW w:w="22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12-month</w:t>
            </w:r>
          </w:p>
        </w:tc>
        <w:tc>
          <w:tcPr>
            <w:tcW w:w="14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19,452</w:t>
            </w:r>
          </w:p>
        </w:tc>
        <w:tc>
          <w:tcPr>
            <w:tcW w:w="18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2,811 (14.5%)</w:t>
            </w:r>
          </w:p>
        </w:tc>
        <w:tc>
          <w:tcPr>
            <w:tcW w:w="13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16,641</w:t>
            </w:r>
          </w:p>
        </w:tc>
        <w:tc>
          <w:tcPr>
            <w:tcW w:w="2401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11,671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70)</w:t>
            </w:r>
          </w:p>
        </w:tc>
        <w:tc>
          <w:tcPr>
            <w:tcW w:w="24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3,890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45)</w:t>
            </w:r>
          </w:p>
        </w:tc>
        <w:tc>
          <w:tcPr>
            <w:tcW w:w="28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3,890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45)</w:t>
            </w:r>
          </w:p>
        </w:tc>
      </w:tr>
      <w:tr>
        <w:trPr>
          <w:trHeight w:val="320" w:hRule="atLeast"/>
        </w:trPr>
        <w:tc>
          <w:tcPr>
            <w:tcW w:w="2200" w:type="dxa"/>
            <w:tcBorders/>
            <w:shd w:color="auto" w:fill="C98500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00" w:type="dxa"/>
            <w:gridSpan w:val="6"/>
            <w:tcBorders/>
            <w:shd w:color="auto" w:fill="F4F3F0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color w:val="5F5E5A"/>
                <w:sz w:val="16"/>
                <w:szCs w:val="16"/>
              </w:rPr>
              <w:t>READMISSION</w:t>
            </w:r>
          </w:p>
        </w:tc>
      </w:tr>
      <w:tr>
        <w:trPr>
          <w:trHeight w:val="520" w:hRule="atLeast"/>
        </w:trPr>
        <w:tc>
          <w:tcPr>
            <w:tcW w:w="22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1-month</w:t>
            </w:r>
          </w:p>
        </w:tc>
        <w:tc>
          <w:tcPr>
            <w:tcW w:w="14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20,937</w:t>
            </w:r>
          </w:p>
        </w:tc>
        <w:tc>
          <w:tcPr>
            <w:tcW w:w="18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847 (4.0%)</w:t>
            </w:r>
          </w:p>
        </w:tc>
        <w:tc>
          <w:tcPr>
            <w:tcW w:w="13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20,090</w:t>
            </w:r>
          </w:p>
        </w:tc>
        <w:tc>
          <w:tcPr>
            <w:tcW w:w="2401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12,562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42)</w:t>
            </w:r>
          </w:p>
        </w:tc>
        <w:tc>
          <w:tcPr>
            <w:tcW w:w="24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4,187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56)</w:t>
            </w:r>
          </w:p>
        </w:tc>
        <w:tc>
          <w:tcPr>
            <w:tcW w:w="28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4,187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56)</w:t>
            </w:r>
          </w:p>
        </w:tc>
      </w:tr>
      <w:tr>
        <w:trPr>
          <w:trHeight w:val="520" w:hRule="atLeast"/>
        </w:trPr>
        <w:tc>
          <w:tcPr>
            <w:tcW w:w="22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6-month</w:t>
            </w:r>
          </w:p>
        </w:tc>
        <w:tc>
          <w:tcPr>
            <w:tcW w:w="14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19,533</w:t>
            </w:r>
          </w:p>
        </w:tc>
        <w:tc>
          <w:tcPr>
            <w:tcW w:w="18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2,168 (11.1%)</w:t>
            </w:r>
          </w:p>
        </w:tc>
        <w:tc>
          <w:tcPr>
            <w:tcW w:w="13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17,365</w:t>
            </w:r>
          </w:p>
        </w:tc>
        <w:tc>
          <w:tcPr>
            <w:tcW w:w="2401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11,719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152)</w:t>
            </w:r>
          </w:p>
        </w:tc>
        <w:tc>
          <w:tcPr>
            <w:tcW w:w="24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3,906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152)</w:t>
            </w:r>
          </w:p>
        </w:tc>
        <w:tc>
          <w:tcPr>
            <w:tcW w:w="28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3,906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152)</w:t>
            </w:r>
          </w:p>
        </w:tc>
      </w:tr>
      <w:tr>
        <w:trPr>
          <w:trHeight w:val="520" w:hRule="atLeast"/>
        </w:trPr>
        <w:tc>
          <w:tcPr>
            <w:tcW w:w="22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12-month</w:t>
            </w:r>
          </w:p>
        </w:tc>
        <w:tc>
          <w:tcPr>
            <w:tcW w:w="14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18,530</w:t>
            </w:r>
          </w:p>
        </w:tc>
        <w:tc>
          <w:tcPr>
            <w:tcW w:w="18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2,802 (15.1%)</w:t>
            </w:r>
          </w:p>
        </w:tc>
        <w:tc>
          <w:tcPr>
            <w:tcW w:w="13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15,728</w:t>
            </w:r>
          </w:p>
        </w:tc>
        <w:tc>
          <w:tcPr>
            <w:tcW w:w="2401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11,118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44)</w:t>
            </w:r>
          </w:p>
        </w:tc>
        <w:tc>
          <w:tcPr>
            <w:tcW w:w="24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3,706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71)</w:t>
            </w:r>
          </w:p>
        </w:tc>
        <w:tc>
          <w:tcPr>
            <w:tcW w:w="28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3,706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71)</w:t>
            </w:r>
          </w:p>
        </w:tc>
      </w:tr>
      <w:tr>
        <w:trPr>
          <w:trHeight w:val="320" w:hRule="atLeast"/>
        </w:trPr>
        <w:tc>
          <w:tcPr>
            <w:tcW w:w="2200" w:type="dxa"/>
            <w:tcBorders/>
            <w:shd w:color="auto" w:fill="1BAF7A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00" w:type="dxa"/>
            <w:gridSpan w:val="6"/>
            <w:tcBorders/>
            <w:shd w:color="auto" w:fill="F4F3F0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color w:val="5F5E5A"/>
                <w:sz w:val="16"/>
                <w:szCs w:val="16"/>
              </w:rPr>
              <w:t>PULMONARY HYPERTENSION</w:t>
            </w:r>
          </w:p>
        </w:tc>
      </w:tr>
      <w:tr>
        <w:trPr>
          <w:trHeight w:val="520" w:hRule="atLeast"/>
        </w:trPr>
        <w:tc>
          <w:tcPr>
            <w:tcW w:w="22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12-month PH</w:t>
            </w:r>
          </w:p>
        </w:tc>
        <w:tc>
          <w:tcPr>
            <w:tcW w:w="14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18,640</w:t>
            </w:r>
          </w:p>
        </w:tc>
        <w:tc>
          <w:tcPr>
            <w:tcW w:w="18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2,605 (14.0%)</w:t>
            </w:r>
          </w:p>
        </w:tc>
        <w:tc>
          <w:tcPr>
            <w:tcW w:w="13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16,035</w:t>
            </w:r>
          </w:p>
        </w:tc>
        <w:tc>
          <w:tcPr>
            <w:tcW w:w="2401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11,184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37)</w:t>
            </w:r>
          </w:p>
        </w:tc>
        <w:tc>
          <w:tcPr>
            <w:tcW w:w="24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3,728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21)</w:t>
            </w:r>
          </w:p>
        </w:tc>
        <w:tc>
          <w:tcPr>
            <w:tcW w:w="28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3,728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(range 21)</w:t>
            </w:r>
          </w:p>
        </w:tc>
      </w:tr>
    </w:tbl>
    <w:p>
      <w:pPr>
        <w:pStyle w:val="Normal"/>
        <w:spacing w:before="80" w:after="280"/>
        <w:rPr/>
      </w:pPr>
      <w:r>
        <w:rPr>
          <w:i/>
          <w:iCs/>
          <w:color w:val="888780"/>
          <w:sz w:val="17"/>
          <w:szCs w:val="17"/>
        </w:rPr>
        <w:t>5-fold CV; each fold rotates the test set. Train/val/test = mean across folds; range = max − min across folds. Positive = event present. Cohort sizes differ per endpoint due to endpoint-specific exclusion criteria.</w:t>
      </w:r>
    </w:p>
    <w:p>
      <w:pPr>
        <w:pStyle w:val="Normal"/>
        <w:spacing w:before="400" w:after="120"/>
        <w:rPr>
          <w:b/>
          <w:bCs/>
          <w:color w:val="1A1A19"/>
          <w:sz w:val="24"/>
          <w:szCs w:val="24"/>
        </w:rPr>
      </w:pPr>
      <w:r>
        <w:rPr>
          <w:b/>
          <w:bCs/>
          <w:color w:val="1A1A19"/>
          <w:sz w:val="24"/>
          <w:szCs w:val="24"/>
        </w:rPr>
      </w:r>
      <w:r>
        <w:br w:type="page"/>
      </w:r>
    </w:p>
    <w:p>
      <w:pPr>
        <w:pStyle w:val="Normal"/>
        <w:spacing w:before="400" w:after="120"/>
        <w:rPr>
          <w:b/>
          <w:bCs/>
          <w:color w:val="1A1A19"/>
          <w:sz w:val="24"/>
          <w:szCs w:val="24"/>
        </w:rPr>
      </w:pPr>
      <w:r>
        <w:rPr>
          <w:b/>
          <w:bCs/>
          <w:color w:val="1A1A19"/>
          <w:sz w:val="24"/>
          <w:szCs w:val="24"/>
        </w:rPr>
        <w:t>Table 2 — 5-Fold CV Performance</w:t>
      </w:r>
    </w:p>
    <w:tbl>
      <w:tblPr>
        <w:tblW w:w="144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2000"/>
        <w:gridCol w:w="2000"/>
        <w:gridCol w:w="2099"/>
        <w:gridCol w:w="2100"/>
        <w:gridCol w:w="2000"/>
        <w:gridCol w:w="2101"/>
        <w:gridCol w:w="2100"/>
      </w:tblGrid>
      <w:tr>
        <w:trPr>
          <w:tblHeader w:val="true"/>
          <w:trHeight w:val="700" w:hRule="atLeast"/>
        </w:trPr>
        <w:tc>
          <w:tcPr>
            <w:tcW w:w="2000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000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AUROC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mean ± SD</w:t>
            </w:r>
          </w:p>
        </w:tc>
        <w:tc>
          <w:tcPr>
            <w:tcW w:w="2099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Sensitivity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opt. threshold, mean ± SD</w:t>
            </w:r>
          </w:p>
        </w:tc>
        <w:tc>
          <w:tcPr>
            <w:tcW w:w="2100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Specificity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opt. threshold, mean ± SD</w:t>
            </w:r>
          </w:p>
        </w:tc>
        <w:tc>
          <w:tcPr>
            <w:tcW w:w="2000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Youden's J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mean ± SD</w:t>
            </w:r>
          </w:p>
        </w:tc>
        <w:tc>
          <w:tcPr>
            <w:tcW w:w="2101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Sensitivity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threshold = 0.5, mean ± SD</w:t>
            </w:r>
          </w:p>
        </w:tc>
        <w:tc>
          <w:tcPr>
            <w:tcW w:w="2100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Specificity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threshold = 0.5, mean ± SD</w:t>
            </w:r>
          </w:p>
        </w:tc>
      </w:tr>
      <w:tr>
        <w:trPr>
          <w:trHeight w:val="320" w:hRule="atLeast"/>
        </w:trPr>
        <w:tc>
          <w:tcPr>
            <w:tcW w:w="2000" w:type="dxa"/>
            <w:tcBorders/>
            <w:shd w:color="auto" w:fill="EB6834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400" w:type="dxa"/>
            <w:gridSpan w:val="6"/>
            <w:tcBorders/>
            <w:shd w:color="auto" w:fill="F4F3F0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color w:val="5F5E5A"/>
                <w:sz w:val="16"/>
                <w:szCs w:val="16"/>
              </w:rPr>
              <w:t>PULMONARY EMBOLISM</w:t>
            </w:r>
          </w:p>
        </w:tc>
      </w:tr>
      <w:tr>
        <w:trPr>
          <w:trHeight w:val="520" w:hRule="atLeast"/>
        </w:trPr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PE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0.759 ± 0.003</w:t>
            </w:r>
          </w:p>
        </w:tc>
        <w:tc>
          <w:tcPr>
            <w:tcW w:w="20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0.657 ± 0.037</w:t>
            </w:r>
          </w:p>
        </w:tc>
        <w:tc>
          <w:tcPr>
            <w:tcW w:w="21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0.729 ± 0.042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0.386 ± 0.011</w:t>
            </w:r>
          </w:p>
        </w:tc>
        <w:tc>
          <w:tcPr>
            <w:tcW w:w="2101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0.254 ± 0.009</w:t>
            </w:r>
          </w:p>
        </w:tc>
        <w:tc>
          <w:tcPr>
            <w:tcW w:w="21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0.974 ± 0.004</w:t>
            </w:r>
          </w:p>
        </w:tc>
      </w:tr>
      <w:tr>
        <w:trPr>
          <w:trHeight w:val="320" w:hRule="atLeast"/>
        </w:trPr>
        <w:tc>
          <w:tcPr>
            <w:tcW w:w="2000" w:type="dxa"/>
            <w:tcBorders/>
            <w:shd w:color="auto" w:fill="2A78D6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400" w:type="dxa"/>
            <w:gridSpan w:val="6"/>
            <w:tcBorders/>
            <w:shd w:color="auto" w:fill="F4F3F0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color w:val="5F5E5A"/>
                <w:sz w:val="16"/>
                <w:szCs w:val="16"/>
              </w:rPr>
              <w:t>MORTALITY</w:t>
            </w:r>
          </w:p>
        </w:tc>
      </w:tr>
      <w:tr>
        <w:trPr>
          <w:trHeight w:val="520" w:hRule="atLeast"/>
        </w:trPr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1-month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0.905 ± 0.014</w:t>
            </w:r>
          </w:p>
        </w:tc>
        <w:tc>
          <w:tcPr>
            <w:tcW w:w="20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0.882 ± 0.036</w:t>
            </w:r>
          </w:p>
        </w:tc>
        <w:tc>
          <w:tcPr>
            <w:tcW w:w="21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0.793 ± 0.022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0.675 ± 0.021</w:t>
            </w:r>
          </w:p>
        </w:tc>
        <w:tc>
          <w:tcPr>
            <w:tcW w:w="2101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0.143 ± 0.049</w:t>
            </w:r>
          </w:p>
        </w:tc>
        <w:tc>
          <w:tcPr>
            <w:tcW w:w="21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0.995 ± 0.003</w:t>
            </w:r>
          </w:p>
        </w:tc>
      </w:tr>
      <w:tr>
        <w:trPr>
          <w:trHeight w:val="520" w:hRule="atLeast"/>
        </w:trPr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6-month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0.890 ± 0.010</w:t>
            </w:r>
          </w:p>
        </w:tc>
        <w:tc>
          <w:tcPr>
            <w:tcW w:w="20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0.808 ± 0.039</w:t>
            </w:r>
          </w:p>
        </w:tc>
        <w:tc>
          <w:tcPr>
            <w:tcW w:w="21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0.806 ± 0.040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0.615 ± 0.016</w:t>
            </w:r>
          </w:p>
        </w:tc>
        <w:tc>
          <w:tcPr>
            <w:tcW w:w="2101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0.321 ± 0.033</w:t>
            </w:r>
          </w:p>
        </w:tc>
        <w:tc>
          <w:tcPr>
            <w:tcW w:w="21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0.975 ± 0.005</w:t>
            </w:r>
          </w:p>
        </w:tc>
      </w:tr>
      <w:tr>
        <w:trPr>
          <w:trHeight w:val="520" w:hRule="atLeast"/>
        </w:trPr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12-month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0.881 ± 0.005</w:t>
            </w:r>
          </w:p>
        </w:tc>
        <w:tc>
          <w:tcPr>
            <w:tcW w:w="20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0.812 ± 0.027</w:t>
            </w:r>
          </w:p>
        </w:tc>
        <w:tc>
          <w:tcPr>
            <w:tcW w:w="21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0.794 ± 0.021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0.606 ± 0.008</w:t>
            </w:r>
          </w:p>
        </w:tc>
        <w:tc>
          <w:tcPr>
            <w:tcW w:w="2101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0.386 ± 0.017</w:t>
            </w:r>
          </w:p>
        </w:tc>
        <w:tc>
          <w:tcPr>
            <w:tcW w:w="21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0.964 ± 0.002</w:t>
            </w:r>
          </w:p>
        </w:tc>
      </w:tr>
      <w:tr>
        <w:trPr>
          <w:trHeight w:val="320" w:hRule="atLeast"/>
        </w:trPr>
        <w:tc>
          <w:tcPr>
            <w:tcW w:w="2000" w:type="dxa"/>
            <w:tcBorders/>
            <w:shd w:color="auto" w:fill="C98500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400" w:type="dxa"/>
            <w:gridSpan w:val="6"/>
            <w:tcBorders/>
            <w:shd w:color="auto" w:fill="F4F3F0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color w:val="5F5E5A"/>
                <w:sz w:val="16"/>
                <w:szCs w:val="16"/>
              </w:rPr>
              <w:t>READMISSION</w:t>
            </w:r>
          </w:p>
        </w:tc>
      </w:tr>
      <w:tr>
        <w:trPr>
          <w:trHeight w:val="520" w:hRule="atLeast"/>
        </w:trPr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1-month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0.734 ± 0.035</w:t>
            </w:r>
          </w:p>
        </w:tc>
        <w:tc>
          <w:tcPr>
            <w:tcW w:w="20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0.714 ± 0.088</w:t>
            </w:r>
          </w:p>
        </w:tc>
        <w:tc>
          <w:tcPr>
            <w:tcW w:w="21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0.615 ± 0.057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0.329 ± 0.053</w:t>
            </w:r>
          </w:p>
        </w:tc>
        <w:tc>
          <w:tcPr>
            <w:tcW w:w="2101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0.006 ± 0.005</w:t>
            </w:r>
          </w:p>
        </w:tc>
        <w:tc>
          <w:tcPr>
            <w:tcW w:w="21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0.999 ± 0.001</w:t>
            </w:r>
          </w:p>
        </w:tc>
      </w:tr>
      <w:tr>
        <w:trPr>
          <w:trHeight w:val="520" w:hRule="atLeast"/>
        </w:trPr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6-month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0.734 ± 0.029</w:t>
            </w:r>
          </w:p>
        </w:tc>
        <w:tc>
          <w:tcPr>
            <w:tcW w:w="20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0.684 ± 0.095</w:t>
            </w:r>
          </w:p>
        </w:tc>
        <w:tc>
          <w:tcPr>
            <w:tcW w:w="21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0.650 ± 0.069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0.335 ± 0.049</w:t>
            </w:r>
          </w:p>
        </w:tc>
        <w:tc>
          <w:tcPr>
            <w:tcW w:w="2101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0.035 ± 0.026</w:t>
            </w:r>
          </w:p>
        </w:tc>
        <w:tc>
          <w:tcPr>
            <w:tcW w:w="21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0.995 ± 0.005</w:t>
            </w:r>
          </w:p>
        </w:tc>
      </w:tr>
      <w:tr>
        <w:trPr>
          <w:trHeight w:val="520" w:hRule="atLeast"/>
        </w:trPr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12-month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0.742 ± 0.004</w:t>
            </w:r>
          </w:p>
        </w:tc>
        <w:tc>
          <w:tcPr>
            <w:tcW w:w="20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0.686 ± 0.048</w:t>
            </w:r>
          </w:p>
        </w:tc>
        <w:tc>
          <w:tcPr>
            <w:tcW w:w="21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0.660 ± 0.037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0.346 ± 0.014</w:t>
            </w:r>
          </w:p>
        </w:tc>
        <w:tc>
          <w:tcPr>
            <w:tcW w:w="2101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0.038 ± 0.036</w:t>
            </w:r>
          </w:p>
        </w:tc>
        <w:tc>
          <w:tcPr>
            <w:tcW w:w="21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0.994 ± 0.005</w:t>
            </w:r>
          </w:p>
        </w:tc>
      </w:tr>
      <w:tr>
        <w:trPr>
          <w:trHeight w:val="320" w:hRule="atLeast"/>
        </w:trPr>
        <w:tc>
          <w:tcPr>
            <w:tcW w:w="2000" w:type="dxa"/>
            <w:tcBorders/>
            <w:shd w:color="auto" w:fill="1BAF7A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400" w:type="dxa"/>
            <w:gridSpan w:val="6"/>
            <w:tcBorders/>
            <w:shd w:color="auto" w:fill="F4F3F0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color w:val="5F5E5A"/>
                <w:sz w:val="16"/>
                <w:szCs w:val="16"/>
              </w:rPr>
              <w:t>PULMONARY HYPERTENSION</w:t>
            </w:r>
          </w:p>
        </w:tc>
      </w:tr>
      <w:tr>
        <w:trPr>
          <w:trHeight w:val="520" w:hRule="atLeast"/>
        </w:trPr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12-month PH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0.916 ± 0.007</w:t>
            </w:r>
          </w:p>
        </w:tc>
        <w:tc>
          <w:tcPr>
            <w:tcW w:w="20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0.775 ± 0.021</w:t>
            </w:r>
          </w:p>
        </w:tc>
        <w:tc>
          <w:tcPr>
            <w:tcW w:w="21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0.898 ± 0.021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0.673 ± 0.015</w:t>
            </w:r>
          </w:p>
        </w:tc>
        <w:tc>
          <w:tcPr>
            <w:tcW w:w="2101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0.605 ± 0.018</w:t>
            </w:r>
          </w:p>
        </w:tc>
        <w:tc>
          <w:tcPr>
            <w:tcW w:w="21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0.972 ± 0.003</w:t>
            </w:r>
          </w:p>
        </w:tc>
      </w:tr>
    </w:tbl>
    <w:p>
      <w:pPr>
        <w:pStyle w:val="Normal"/>
        <w:spacing w:before="80" w:after="280"/>
        <w:rPr/>
      </w:pPr>
      <w:r>
        <w:rPr>
          <w:i/>
          <w:iCs/>
          <w:color w:val="888780"/>
          <w:sz w:val="17"/>
          <w:szCs w:val="17"/>
        </w:rPr>
        <w:t>AUROC is threshold-independent. Sensitivity and specificity reported at two thresholds: the Youden's J optimised threshold (tuned on validation set, applied to test set) and the default 0.5. Youden's J = Sensitivity + Specificity − 1 at the optimised threshold.</w:t>
      </w:r>
    </w:p>
    <w:p>
      <w:pPr>
        <w:pStyle w:val="Normal"/>
        <w:spacing w:before="400" w:after="120"/>
        <w:rPr>
          <w:b/>
          <w:bCs/>
          <w:color w:val="1A1A19"/>
          <w:sz w:val="24"/>
          <w:szCs w:val="24"/>
        </w:rPr>
      </w:pPr>
      <w:r>
        <w:rPr>
          <w:b/>
          <w:bCs/>
          <w:color w:val="1A1A19"/>
          <w:sz w:val="24"/>
          <w:szCs w:val="24"/>
        </w:rPr>
      </w:r>
      <w:r>
        <w:br w:type="page"/>
      </w:r>
    </w:p>
    <w:p>
      <w:pPr>
        <w:pStyle w:val="Normal"/>
        <w:spacing w:before="400" w:after="120"/>
        <w:rPr>
          <w:b/>
          <w:bCs/>
          <w:color w:val="1A1A19"/>
          <w:sz w:val="24"/>
          <w:szCs w:val="24"/>
        </w:rPr>
      </w:pPr>
      <w:r>
        <w:rPr>
          <w:b/>
          <w:bCs/>
          <w:color w:val="1A1A19"/>
          <w:sz w:val="24"/>
          <w:szCs w:val="24"/>
        </w:rPr>
        <w:t>Table 3 — Comparative AUROC</w:t>
      </w:r>
    </w:p>
    <w:tbl>
      <w:tblPr>
        <w:tblW w:w="144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1899"/>
        <w:gridCol w:w="1701"/>
        <w:gridCol w:w="1899"/>
        <w:gridCol w:w="2000"/>
        <w:gridCol w:w="1701"/>
        <w:gridCol w:w="1699"/>
        <w:gridCol w:w="1800"/>
        <w:gridCol w:w="1701"/>
      </w:tblGrid>
      <w:tr>
        <w:trPr>
          <w:tblHeader w:val="true"/>
          <w:trHeight w:val="700" w:hRule="atLeast"/>
        </w:trPr>
        <w:tc>
          <w:tcPr>
            <w:tcW w:w="1899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701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INSPECT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published</w:t>
            </w:r>
          </w:p>
        </w:tc>
        <w:tc>
          <w:tcPr>
            <w:tcW w:w="1899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Reconstruction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replication</w:t>
            </w:r>
          </w:p>
        </w:tc>
        <w:tc>
          <w:tcPr>
            <w:tcW w:w="2000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5-fold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mean ± SD</w:t>
            </w:r>
          </w:p>
        </w:tc>
        <w:tc>
          <w:tcPr>
            <w:tcW w:w="1701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Sens @ 0.5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mean ± SD</w:t>
            </w:r>
          </w:p>
        </w:tc>
        <w:tc>
          <w:tcPr>
            <w:tcW w:w="1699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Spec @ 0.5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mean ± SD</w:t>
            </w:r>
          </w:p>
        </w:tc>
        <w:tc>
          <w:tcPr>
            <w:tcW w:w="1800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Δ vs INSPECT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our − published</w:t>
            </w:r>
          </w:p>
        </w:tc>
        <w:tc>
          <w:tcPr>
            <w:tcW w:w="1701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Δ vs Recon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our − replication</w:t>
            </w:r>
          </w:p>
        </w:tc>
      </w:tr>
      <w:tr>
        <w:trPr>
          <w:trHeight w:val="320" w:hRule="atLeast"/>
        </w:trPr>
        <w:tc>
          <w:tcPr>
            <w:tcW w:w="1899" w:type="dxa"/>
            <w:tcBorders/>
            <w:shd w:color="auto" w:fill="EB6834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501" w:type="dxa"/>
            <w:gridSpan w:val="7"/>
            <w:tcBorders/>
            <w:shd w:color="auto" w:fill="F4F3F0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color w:val="5F5E5A"/>
                <w:sz w:val="16"/>
                <w:szCs w:val="16"/>
              </w:rPr>
              <w:t>PULMONARY EMBOLISM</w:t>
            </w:r>
          </w:p>
        </w:tc>
      </w:tr>
      <w:tr>
        <w:trPr>
          <w:trHeight w:val="520" w:hRule="atLeast"/>
        </w:trPr>
        <w:tc>
          <w:tcPr>
            <w:tcW w:w="18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PE</w:t>
            </w:r>
          </w:p>
        </w:tc>
        <w:tc>
          <w:tcPr>
            <w:tcW w:w="1701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0.681</w:t>
            </w:r>
          </w:p>
        </w:tc>
        <w:tc>
          <w:tcPr>
            <w:tcW w:w="18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0.7437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0.759 ± 0.003</w:t>
            </w:r>
          </w:p>
        </w:tc>
        <w:tc>
          <w:tcPr>
            <w:tcW w:w="1701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0.254 ± 0.009</w:t>
            </w:r>
          </w:p>
        </w:tc>
        <w:tc>
          <w:tcPr>
            <w:tcW w:w="16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0.974 ± 0.004</w:t>
            </w:r>
          </w:p>
        </w:tc>
        <w:tc>
          <w:tcPr>
            <w:tcW w:w="1800" w:type="dxa"/>
            <w:tcBorders/>
            <w:shd w:color="auto" w:fill="E1F5EE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>+0.078</w:t>
            </w:r>
          </w:p>
        </w:tc>
        <w:tc>
          <w:tcPr>
            <w:tcW w:w="1701" w:type="dxa"/>
            <w:tcBorders/>
            <w:shd w:color="auto" w:fill="E1F5EE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>+0.015</w:t>
            </w:r>
          </w:p>
        </w:tc>
      </w:tr>
      <w:tr>
        <w:trPr>
          <w:trHeight w:val="320" w:hRule="atLeast"/>
        </w:trPr>
        <w:tc>
          <w:tcPr>
            <w:tcW w:w="1899" w:type="dxa"/>
            <w:tcBorders/>
            <w:shd w:color="auto" w:fill="2A78D6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501" w:type="dxa"/>
            <w:gridSpan w:val="7"/>
            <w:tcBorders/>
            <w:shd w:color="auto" w:fill="F4F3F0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color w:val="5F5E5A"/>
                <w:sz w:val="16"/>
                <w:szCs w:val="16"/>
              </w:rPr>
              <w:t>MORTALITY</w:t>
            </w:r>
          </w:p>
        </w:tc>
      </w:tr>
      <w:tr>
        <w:trPr>
          <w:trHeight w:val="520" w:hRule="atLeast"/>
        </w:trPr>
        <w:tc>
          <w:tcPr>
            <w:tcW w:w="18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1-month</w:t>
            </w:r>
          </w:p>
        </w:tc>
        <w:tc>
          <w:tcPr>
            <w:tcW w:w="1701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0.848</w:t>
            </w:r>
          </w:p>
        </w:tc>
        <w:tc>
          <w:tcPr>
            <w:tcW w:w="18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0.9267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0.905 ± 0.014</w:t>
            </w:r>
          </w:p>
        </w:tc>
        <w:tc>
          <w:tcPr>
            <w:tcW w:w="1701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0.143 ± 0.049</w:t>
            </w:r>
          </w:p>
        </w:tc>
        <w:tc>
          <w:tcPr>
            <w:tcW w:w="16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0.995 ± 0.003</w:t>
            </w:r>
          </w:p>
        </w:tc>
        <w:tc>
          <w:tcPr>
            <w:tcW w:w="1800" w:type="dxa"/>
            <w:tcBorders/>
            <w:shd w:color="auto" w:fill="E1F5EE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>+0.057</w:t>
            </w:r>
          </w:p>
        </w:tc>
        <w:tc>
          <w:tcPr>
            <w:tcW w:w="1701" w:type="dxa"/>
            <w:tcBorders/>
            <w:shd w:color="auto" w:fill="FAECE7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712B13"/>
                <w:sz w:val="19"/>
                <w:szCs w:val="19"/>
              </w:rPr>
              <w:t>-0.022</w:t>
            </w:r>
          </w:p>
        </w:tc>
      </w:tr>
      <w:tr>
        <w:trPr>
          <w:trHeight w:val="520" w:hRule="atLeast"/>
        </w:trPr>
        <w:tc>
          <w:tcPr>
            <w:tcW w:w="18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6-month</w:t>
            </w:r>
          </w:p>
        </w:tc>
        <w:tc>
          <w:tcPr>
            <w:tcW w:w="1701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0.865</w:t>
            </w:r>
          </w:p>
        </w:tc>
        <w:tc>
          <w:tcPr>
            <w:tcW w:w="18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0.8969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0.890 ± 0.010</w:t>
            </w:r>
          </w:p>
        </w:tc>
        <w:tc>
          <w:tcPr>
            <w:tcW w:w="1701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0.321 ± 0.033</w:t>
            </w:r>
          </w:p>
        </w:tc>
        <w:tc>
          <w:tcPr>
            <w:tcW w:w="16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0.975 ± 0.005</w:t>
            </w:r>
          </w:p>
        </w:tc>
        <w:tc>
          <w:tcPr>
            <w:tcW w:w="1800" w:type="dxa"/>
            <w:tcBorders/>
            <w:shd w:color="auto" w:fill="E1F5EE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>+0.025</w:t>
            </w:r>
          </w:p>
        </w:tc>
        <w:tc>
          <w:tcPr>
            <w:tcW w:w="1701" w:type="dxa"/>
            <w:tcBorders/>
            <w:shd w:color="auto" w:fill="FAECE7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712B13"/>
                <w:sz w:val="19"/>
                <w:szCs w:val="19"/>
              </w:rPr>
              <w:t>-0.007</w:t>
            </w:r>
          </w:p>
        </w:tc>
      </w:tr>
      <w:tr>
        <w:trPr>
          <w:trHeight w:val="520" w:hRule="atLeast"/>
        </w:trPr>
        <w:tc>
          <w:tcPr>
            <w:tcW w:w="18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12-month</w:t>
            </w:r>
          </w:p>
        </w:tc>
        <w:tc>
          <w:tcPr>
            <w:tcW w:w="1701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0.855</w:t>
            </w:r>
          </w:p>
        </w:tc>
        <w:tc>
          <w:tcPr>
            <w:tcW w:w="18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0.8813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0.881 ± 0.005</w:t>
            </w:r>
          </w:p>
        </w:tc>
        <w:tc>
          <w:tcPr>
            <w:tcW w:w="1701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0.386 ± 0.017</w:t>
            </w:r>
          </w:p>
        </w:tc>
        <w:tc>
          <w:tcPr>
            <w:tcW w:w="16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0.964 ± 0.002</w:t>
            </w:r>
          </w:p>
        </w:tc>
        <w:tc>
          <w:tcPr>
            <w:tcW w:w="1800" w:type="dxa"/>
            <w:tcBorders/>
            <w:shd w:color="auto" w:fill="E1F5EE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>+0.026</w:t>
            </w:r>
          </w:p>
        </w:tc>
        <w:tc>
          <w:tcPr>
            <w:tcW w:w="1701" w:type="dxa"/>
            <w:tcBorders/>
            <w:shd w:color="auto" w:fill="F4F3F0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>+-0.000</w:t>
            </w:r>
          </w:p>
        </w:tc>
      </w:tr>
      <w:tr>
        <w:trPr>
          <w:trHeight w:val="320" w:hRule="atLeast"/>
        </w:trPr>
        <w:tc>
          <w:tcPr>
            <w:tcW w:w="1899" w:type="dxa"/>
            <w:tcBorders/>
            <w:shd w:color="auto" w:fill="C98500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501" w:type="dxa"/>
            <w:gridSpan w:val="7"/>
            <w:tcBorders/>
            <w:shd w:color="auto" w:fill="F4F3F0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color w:val="5F5E5A"/>
                <w:sz w:val="16"/>
                <w:szCs w:val="16"/>
              </w:rPr>
              <w:t>READMISSION</w:t>
            </w:r>
          </w:p>
        </w:tc>
      </w:tr>
      <w:tr>
        <w:trPr>
          <w:trHeight w:val="520" w:hRule="atLeast"/>
        </w:trPr>
        <w:tc>
          <w:tcPr>
            <w:tcW w:w="18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1-month</w:t>
            </w:r>
          </w:p>
        </w:tc>
        <w:tc>
          <w:tcPr>
            <w:tcW w:w="1701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0.737</w:t>
            </w:r>
          </w:p>
        </w:tc>
        <w:tc>
          <w:tcPr>
            <w:tcW w:w="18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0.7745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0.734 ± 0.035</w:t>
            </w:r>
          </w:p>
        </w:tc>
        <w:tc>
          <w:tcPr>
            <w:tcW w:w="1701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0.006 ± 0.005</w:t>
            </w:r>
          </w:p>
        </w:tc>
        <w:tc>
          <w:tcPr>
            <w:tcW w:w="16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0.999 ± 0.001</w:t>
            </w:r>
          </w:p>
        </w:tc>
        <w:tc>
          <w:tcPr>
            <w:tcW w:w="1800" w:type="dxa"/>
            <w:tcBorders/>
            <w:shd w:color="auto" w:fill="F4F3F0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>+-0.003</w:t>
            </w:r>
          </w:p>
        </w:tc>
        <w:tc>
          <w:tcPr>
            <w:tcW w:w="1701" w:type="dxa"/>
            <w:tcBorders/>
            <w:shd w:color="auto" w:fill="FAECE7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712B13"/>
                <w:sz w:val="19"/>
                <w:szCs w:val="19"/>
              </w:rPr>
              <w:t>-0.041</w:t>
            </w:r>
          </w:p>
        </w:tc>
      </w:tr>
      <w:tr>
        <w:trPr>
          <w:trHeight w:val="520" w:hRule="atLeast"/>
        </w:trPr>
        <w:tc>
          <w:tcPr>
            <w:tcW w:w="18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6-month</w:t>
            </w:r>
          </w:p>
        </w:tc>
        <w:tc>
          <w:tcPr>
            <w:tcW w:w="1701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0.740</w:t>
            </w:r>
          </w:p>
        </w:tc>
        <w:tc>
          <w:tcPr>
            <w:tcW w:w="18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0.7089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0.734 ± 0.029</w:t>
            </w:r>
          </w:p>
        </w:tc>
        <w:tc>
          <w:tcPr>
            <w:tcW w:w="1701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0.035 ± 0.026</w:t>
            </w:r>
          </w:p>
        </w:tc>
        <w:tc>
          <w:tcPr>
            <w:tcW w:w="16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0.995 ± 0.005</w:t>
            </w:r>
          </w:p>
        </w:tc>
        <w:tc>
          <w:tcPr>
            <w:tcW w:w="1800" w:type="dxa"/>
            <w:tcBorders/>
            <w:shd w:color="auto" w:fill="FAECE7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712B13"/>
                <w:sz w:val="19"/>
                <w:szCs w:val="19"/>
              </w:rPr>
              <w:t>-0.006</w:t>
            </w:r>
          </w:p>
        </w:tc>
        <w:tc>
          <w:tcPr>
            <w:tcW w:w="1701" w:type="dxa"/>
            <w:tcBorders/>
            <w:shd w:color="auto" w:fill="E1F5EE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>+0.025</w:t>
            </w:r>
          </w:p>
        </w:tc>
      </w:tr>
      <w:tr>
        <w:trPr>
          <w:trHeight w:val="520" w:hRule="atLeast"/>
        </w:trPr>
        <w:tc>
          <w:tcPr>
            <w:tcW w:w="18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12-month</w:t>
            </w:r>
          </w:p>
        </w:tc>
        <w:tc>
          <w:tcPr>
            <w:tcW w:w="1701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0.728</w:t>
            </w:r>
          </w:p>
        </w:tc>
        <w:tc>
          <w:tcPr>
            <w:tcW w:w="18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0.7463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0.742 ± 0.004</w:t>
            </w:r>
          </w:p>
        </w:tc>
        <w:tc>
          <w:tcPr>
            <w:tcW w:w="1701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0.038 ± 0.036</w:t>
            </w:r>
          </w:p>
        </w:tc>
        <w:tc>
          <w:tcPr>
            <w:tcW w:w="169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0.994 ± 0.005</w:t>
            </w:r>
          </w:p>
        </w:tc>
        <w:tc>
          <w:tcPr>
            <w:tcW w:w="1800" w:type="dxa"/>
            <w:tcBorders/>
            <w:shd w:color="auto" w:fill="E1F5EE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>+0.014</w:t>
            </w:r>
          </w:p>
        </w:tc>
        <w:tc>
          <w:tcPr>
            <w:tcW w:w="1701" w:type="dxa"/>
            <w:tcBorders/>
            <w:shd w:color="auto" w:fill="FAECE7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712B13"/>
                <w:sz w:val="19"/>
                <w:szCs w:val="19"/>
              </w:rPr>
              <w:t>-0.004</w:t>
            </w:r>
          </w:p>
        </w:tc>
      </w:tr>
      <w:tr>
        <w:trPr>
          <w:trHeight w:val="320" w:hRule="atLeast"/>
        </w:trPr>
        <w:tc>
          <w:tcPr>
            <w:tcW w:w="1899" w:type="dxa"/>
            <w:tcBorders/>
            <w:shd w:color="auto" w:fill="1BAF7A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501" w:type="dxa"/>
            <w:gridSpan w:val="7"/>
            <w:tcBorders/>
            <w:shd w:color="auto" w:fill="F4F3F0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color w:val="5F5E5A"/>
                <w:sz w:val="16"/>
                <w:szCs w:val="16"/>
              </w:rPr>
              <w:t>PULMONARY HYPERTENSION</w:t>
            </w:r>
          </w:p>
        </w:tc>
      </w:tr>
      <w:tr>
        <w:trPr>
          <w:trHeight w:val="520" w:hRule="atLeast"/>
        </w:trPr>
        <w:tc>
          <w:tcPr>
            <w:tcW w:w="18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12-month PH</w:t>
            </w:r>
          </w:p>
        </w:tc>
        <w:tc>
          <w:tcPr>
            <w:tcW w:w="1701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0.828</w:t>
            </w:r>
          </w:p>
        </w:tc>
        <w:tc>
          <w:tcPr>
            <w:tcW w:w="18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0.9226</w:t>
            </w:r>
          </w:p>
        </w:tc>
        <w:tc>
          <w:tcPr>
            <w:tcW w:w="200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0.916 ± 0.007</w:t>
            </w:r>
          </w:p>
        </w:tc>
        <w:tc>
          <w:tcPr>
            <w:tcW w:w="1701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0.605 ± 0.018</w:t>
            </w:r>
          </w:p>
        </w:tc>
        <w:tc>
          <w:tcPr>
            <w:tcW w:w="169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0.972 ± 0.003</w:t>
            </w:r>
          </w:p>
        </w:tc>
        <w:tc>
          <w:tcPr>
            <w:tcW w:w="1800" w:type="dxa"/>
            <w:tcBorders/>
            <w:shd w:color="auto" w:fill="E1F5EE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>+0.088</w:t>
            </w:r>
          </w:p>
        </w:tc>
        <w:tc>
          <w:tcPr>
            <w:tcW w:w="1701" w:type="dxa"/>
            <w:tcBorders/>
            <w:shd w:color="auto" w:fill="FAECE7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712B13"/>
                <w:sz w:val="19"/>
                <w:szCs w:val="19"/>
              </w:rPr>
              <w:t>-0.006</w:t>
            </w:r>
          </w:p>
        </w:tc>
      </w:tr>
    </w:tbl>
    <w:p>
      <w:pPr>
        <w:pStyle w:val="Normal"/>
        <w:spacing w:before="80" w:after="280"/>
        <w:rPr>
          <w:i/>
          <w:iCs/>
          <w:color w:val="888780"/>
          <w:sz w:val="17"/>
          <w:szCs w:val="17"/>
        </w:rPr>
      </w:pPr>
      <w:r>
        <w:rPr>
          <w:i/>
          <w:iCs/>
          <w:color w:val="888780"/>
          <w:sz w:val="17"/>
          <w:szCs w:val="17"/>
        </w:rPr>
        <w:t>INSPECT = published study AUROCs. Reconstruction = replication on the same dataset using FEMR featurization + LightGBM. 5-fold = this study (mean ± SD). Δ = our 5-fold AUROC minus comparison; green = our model higher, red = our model lower. Sens/Spec at threshold = 0.5.</w:t>
      </w:r>
      <w:r>
        <w:br w:type="page"/>
      </w:r>
    </w:p>
    <w:p>
      <w:pPr>
        <w:pStyle w:val="Normal"/>
        <w:spacing w:before="80" w:after="280"/>
        <w:rPr>
          <w:i/>
          <w:iCs/>
          <w:color w:val="888780"/>
          <w:sz w:val="17"/>
          <w:szCs w:val="17"/>
        </w:rPr>
      </w:pPr>
      <w:r>
        <w:rPr>
          <w:i/>
          <w:iCs/>
          <w:color w:val="888780"/>
          <w:sz w:val="17"/>
          <w:szCs w:val="17"/>
        </w:rPr>
      </w:r>
    </w:p>
    <w:tbl>
      <w:tblPr>
        <w:tblW w:w="13856" w:type="dxa"/>
        <w:jc w:val="start"/>
        <w:tblInd w:w="21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2360"/>
        <w:gridCol w:w="1875"/>
        <w:gridCol w:w="2633"/>
        <w:gridCol w:w="2409"/>
        <w:gridCol w:w="2583"/>
        <w:gridCol w:w="1996"/>
      </w:tblGrid>
      <w:tr>
        <w:trPr>
          <w:tblHeader w:val="true"/>
          <w:trHeight w:val="700" w:hRule="atLeast"/>
        </w:trPr>
        <w:tc>
          <w:tcPr>
            <w:tcW w:w="2360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875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INSPECT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published</w:t>
            </w:r>
          </w:p>
        </w:tc>
        <w:tc>
          <w:tcPr>
            <w:tcW w:w="2633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Reconstruction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replication</w:t>
            </w:r>
          </w:p>
        </w:tc>
        <w:tc>
          <w:tcPr>
            <w:tcW w:w="2409" w:type="dxa"/>
            <w:tcBorders/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5-fold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mean ± SD</w:t>
            </w:r>
          </w:p>
        </w:tc>
        <w:tc>
          <w:tcPr>
            <w:tcW w:w="2583" w:type="dxa"/>
            <w:tcBorders/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Δ vs INSPECT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our − published</w:t>
            </w:r>
          </w:p>
        </w:tc>
        <w:tc>
          <w:tcPr>
            <w:tcW w:w="1996" w:type="dxa"/>
            <w:tcBorders>
              <w:end w:val="single" w:sz="2" w:space="0" w:color="3A3A38"/>
            </w:tcBorders>
            <w:shd w:color="auto" w:fill="1A1A19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Δ vs Recon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color w:val="888780"/>
                <w:sz w:val="14"/>
                <w:szCs w:val="14"/>
              </w:rPr>
              <w:br/>
              <w:t>our − replication</w:t>
            </w:r>
          </w:p>
        </w:tc>
      </w:tr>
      <w:tr>
        <w:trPr>
          <w:trHeight w:val="320" w:hRule="atLeast"/>
        </w:trPr>
        <w:tc>
          <w:tcPr>
            <w:tcW w:w="2360" w:type="dxa"/>
            <w:tcBorders/>
            <w:shd w:color="auto" w:fill="EB6834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496" w:type="dxa"/>
            <w:gridSpan w:val="5"/>
            <w:tcBorders/>
            <w:shd w:color="auto" w:fill="F4F3F0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color w:val="5F5E5A"/>
                <w:sz w:val="16"/>
                <w:szCs w:val="16"/>
              </w:rPr>
              <w:t>PULMONARY EMBOLISM</w:t>
            </w:r>
          </w:p>
        </w:tc>
      </w:tr>
      <w:tr>
        <w:trPr>
          <w:trHeight w:val="520" w:hRule="atLeast"/>
        </w:trPr>
        <w:tc>
          <w:tcPr>
            <w:tcW w:w="236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PE</w:t>
            </w:r>
          </w:p>
        </w:tc>
        <w:tc>
          <w:tcPr>
            <w:tcW w:w="1875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0.681</w:t>
            </w:r>
          </w:p>
        </w:tc>
        <w:tc>
          <w:tcPr>
            <w:tcW w:w="2633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0.7437</w:t>
            </w:r>
          </w:p>
        </w:tc>
        <w:tc>
          <w:tcPr>
            <w:tcW w:w="240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0.759 ± 0.003</w:t>
            </w:r>
          </w:p>
        </w:tc>
        <w:tc>
          <w:tcPr>
            <w:tcW w:w="2583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>+0.078</w:t>
            </w:r>
          </w:p>
        </w:tc>
        <w:tc>
          <w:tcPr>
            <w:tcW w:w="1996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>+0.015</w:t>
            </w:r>
          </w:p>
        </w:tc>
      </w:tr>
      <w:tr>
        <w:trPr>
          <w:trHeight w:val="320" w:hRule="atLeast"/>
        </w:trPr>
        <w:tc>
          <w:tcPr>
            <w:tcW w:w="2360" w:type="dxa"/>
            <w:tcBorders/>
            <w:shd w:color="auto" w:fill="2A78D6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496" w:type="dxa"/>
            <w:gridSpan w:val="5"/>
            <w:tcBorders/>
            <w:shd w:color="auto" w:fill="F4F3F0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color w:val="5F5E5A"/>
                <w:sz w:val="16"/>
                <w:szCs w:val="16"/>
              </w:rPr>
              <w:t>MORTALITY</w:t>
            </w:r>
          </w:p>
        </w:tc>
      </w:tr>
      <w:tr>
        <w:trPr>
          <w:trHeight w:val="520" w:hRule="atLeast"/>
        </w:trPr>
        <w:tc>
          <w:tcPr>
            <w:tcW w:w="236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1-month</w:t>
            </w:r>
          </w:p>
        </w:tc>
        <w:tc>
          <w:tcPr>
            <w:tcW w:w="1875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0.848</w:t>
            </w:r>
          </w:p>
        </w:tc>
        <w:tc>
          <w:tcPr>
            <w:tcW w:w="2633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0.9267</w:t>
            </w:r>
          </w:p>
        </w:tc>
        <w:tc>
          <w:tcPr>
            <w:tcW w:w="240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0.905 ± 0.014</w:t>
            </w:r>
          </w:p>
        </w:tc>
        <w:tc>
          <w:tcPr>
            <w:tcW w:w="2583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>+0.057</w:t>
            </w:r>
          </w:p>
        </w:tc>
        <w:tc>
          <w:tcPr>
            <w:tcW w:w="1996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712B13"/>
                <w:sz w:val="19"/>
                <w:szCs w:val="19"/>
              </w:rPr>
              <w:t>-0.022</w:t>
            </w:r>
          </w:p>
        </w:tc>
      </w:tr>
      <w:tr>
        <w:trPr>
          <w:trHeight w:val="520" w:hRule="atLeast"/>
        </w:trPr>
        <w:tc>
          <w:tcPr>
            <w:tcW w:w="236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6-month</w:t>
            </w:r>
          </w:p>
        </w:tc>
        <w:tc>
          <w:tcPr>
            <w:tcW w:w="1875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0.865</w:t>
            </w:r>
          </w:p>
        </w:tc>
        <w:tc>
          <w:tcPr>
            <w:tcW w:w="2633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0.8969</w:t>
            </w:r>
          </w:p>
        </w:tc>
        <w:tc>
          <w:tcPr>
            <w:tcW w:w="240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0.890 ± 0.010</w:t>
            </w:r>
          </w:p>
        </w:tc>
        <w:tc>
          <w:tcPr>
            <w:tcW w:w="2583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>+0.025</w:t>
            </w:r>
          </w:p>
        </w:tc>
        <w:tc>
          <w:tcPr>
            <w:tcW w:w="1996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712B13"/>
                <w:sz w:val="19"/>
                <w:szCs w:val="19"/>
              </w:rPr>
              <w:t>-0.007</w:t>
            </w:r>
          </w:p>
        </w:tc>
      </w:tr>
      <w:tr>
        <w:trPr>
          <w:trHeight w:val="520" w:hRule="atLeast"/>
        </w:trPr>
        <w:tc>
          <w:tcPr>
            <w:tcW w:w="236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12-month</w:t>
            </w:r>
          </w:p>
        </w:tc>
        <w:tc>
          <w:tcPr>
            <w:tcW w:w="1875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0.855</w:t>
            </w:r>
          </w:p>
        </w:tc>
        <w:tc>
          <w:tcPr>
            <w:tcW w:w="2633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0.8813</w:t>
            </w:r>
          </w:p>
        </w:tc>
        <w:tc>
          <w:tcPr>
            <w:tcW w:w="240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0.881 ± 0.005</w:t>
            </w:r>
          </w:p>
        </w:tc>
        <w:tc>
          <w:tcPr>
            <w:tcW w:w="2583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>+0.026</w:t>
            </w:r>
          </w:p>
        </w:tc>
        <w:tc>
          <w:tcPr>
            <w:tcW w:w="1996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>+-0.000</w:t>
            </w:r>
          </w:p>
        </w:tc>
      </w:tr>
      <w:tr>
        <w:trPr>
          <w:trHeight w:val="320" w:hRule="atLeast"/>
        </w:trPr>
        <w:tc>
          <w:tcPr>
            <w:tcW w:w="2360" w:type="dxa"/>
            <w:tcBorders/>
            <w:shd w:color="auto" w:fill="C98500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496" w:type="dxa"/>
            <w:gridSpan w:val="5"/>
            <w:tcBorders/>
            <w:shd w:color="auto" w:fill="F4F3F0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color w:val="5F5E5A"/>
                <w:sz w:val="16"/>
                <w:szCs w:val="16"/>
              </w:rPr>
              <w:t>READMISSION</w:t>
            </w:r>
          </w:p>
        </w:tc>
      </w:tr>
      <w:tr>
        <w:trPr>
          <w:trHeight w:val="520" w:hRule="atLeast"/>
        </w:trPr>
        <w:tc>
          <w:tcPr>
            <w:tcW w:w="236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1-month</w:t>
            </w:r>
          </w:p>
        </w:tc>
        <w:tc>
          <w:tcPr>
            <w:tcW w:w="1875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0.737</w:t>
            </w:r>
          </w:p>
        </w:tc>
        <w:tc>
          <w:tcPr>
            <w:tcW w:w="2633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0.7745</w:t>
            </w:r>
          </w:p>
        </w:tc>
        <w:tc>
          <w:tcPr>
            <w:tcW w:w="240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0.734 ± 0.035</w:t>
            </w:r>
          </w:p>
        </w:tc>
        <w:tc>
          <w:tcPr>
            <w:tcW w:w="2583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>+-0.003</w:t>
            </w:r>
          </w:p>
        </w:tc>
        <w:tc>
          <w:tcPr>
            <w:tcW w:w="1996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712B13"/>
                <w:sz w:val="19"/>
                <w:szCs w:val="19"/>
              </w:rPr>
              <w:t>-0.041</w:t>
            </w:r>
          </w:p>
        </w:tc>
      </w:tr>
      <w:tr>
        <w:trPr>
          <w:trHeight w:val="520" w:hRule="atLeast"/>
        </w:trPr>
        <w:tc>
          <w:tcPr>
            <w:tcW w:w="236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6-month</w:t>
            </w:r>
          </w:p>
        </w:tc>
        <w:tc>
          <w:tcPr>
            <w:tcW w:w="1875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0.740</w:t>
            </w:r>
          </w:p>
        </w:tc>
        <w:tc>
          <w:tcPr>
            <w:tcW w:w="2633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0.7089</w:t>
            </w:r>
          </w:p>
        </w:tc>
        <w:tc>
          <w:tcPr>
            <w:tcW w:w="240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0.734 ± 0.029</w:t>
            </w:r>
          </w:p>
        </w:tc>
        <w:tc>
          <w:tcPr>
            <w:tcW w:w="2583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712B13"/>
                <w:sz w:val="19"/>
                <w:szCs w:val="19"/>
              </w:rPr>
              <w:t>-0.006</w:t>
            </w:r>
          </w:p>
        </w:tc>
        <w:tc>
          <w:tcPr>
            <w:tcW w:w="1996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>+0.025</w:t>
            </w:r>
          </w:p>
        </w:tc>
      </w:tr>
      <w:tr>
        <w:trPr>
          <w:trHeight w:val="520" w:hRule="atLeast"/>
        </w:trPr>
        <w:tc>
          <w:tcPr>
            <w:tcW w:w="2360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12-month</w:t>
            </w:r>
          </w:p>
        </w:tc>
        <w:tc>
          <w:tcPr>
            <w:tcW w:w="1875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0.728</w:t>
            </w:r>
          </w:p>
        </w:tc>
        <w:tc>
          <w:tcPr>
            <w:tcW w:w="2633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0.7463</w:t>
            </w:r>
          </w:p>
        </w:tc>
        <w:tc>
          <w:tcPr>
            <w:tcW w:w="2409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0.742 ± 0.004</w:t>
            </w:r>
          </w:p>
        </w:tc>
        <w:tc>
          <w:tcPr>
            <w:tcW w:w="2583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>+0.014</w:t>
            </w:r>
          </w:p>
        </w:tc>
        <w:tc>
          <w:tcPr>
            <w:tcW w:w="1996" w:type="dxa"/>
            <w:tcBorders>
              <w:top w:val="single" w:sz="2" w:space="0" w:color="D3D1C7"/>
              <w:bottom w:val="single" w:sz="2" w:space="0" w:color="D3D1C7"/>
            </w:tcBorders>
            <w:shd w:color="auto" w:fill="FFFFFF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712B13"/>
                <w:sz w:val="19"/>
                <w:szCs w:val="19"/>
              </w:rPr>
              <w:t>-0.004</w:t>
            </w:r>
          </w:p>
        </w:tc>
      </w:tr>
      <w:tr>
        <w:trPr>
          <w:trHeight w:val="320" w:hRule="atLeast"/>
        </w:trPr>
        <w:tc>
          <w:tcPr>
            <w:tcW w:w="2360" w:type="dxa"/>
            <w:tcBorders/>
            <w:shd w:color="auto" w:fill="1BAF7A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496" w:type="dxa"/>
            <w:gridSpan w:val="5"/>
            <w:tcBorders/>
            <w:shd w:color="auto" w:fill="F4F3F0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before="30" w:after="30"/>
              <w:rPr/>
            </w:pPr>
            <w:r>
              <w:rPr>
                <w:b/>
                <w:bCs/>
                <w:color w:val="5F5E5A"/>
                <w:sz w:val="16"/>
                <w:szCs w:val="16"/>
              </w:rPr>
              <w:t>PULMONARY HYPERTENSION</w:t>
            </w:r>
          </w:p>
        </w:tc>
      </w:tr>
      <w:tr>
        <w:trPr>
          <w:trHeight w:val="520" w:hRule="atLeast"/>
        </w:trPr>
        <w:tc>
          <w:tcPr>
            <w:tcW w:w="2360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12-month PH</w:t>
            </w:r>
          </w:p>
        </w:tc>
        <w:tc>
          <w:tcPr>
            <w:tcW w:w="1875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0.828</w:t>
            </w:r>
          </w:p>
        </w:tc>
        <w:tc>
          <w:tcPr>
            <w:tcW w:w="2633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>0.9226</w:t>
            </w:r>
          </w:p>
        </w:tc>
        <w:tc>
          <w:tcPr>
            <w:tcW w:w="2409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>0.916 ± 0.007</w:t>
            </w:r>
          </w:p>
        </w:tc>
        <w:tc>
          <w:tcPr>
            <w:tcW w:w="2583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85041"/>
                <w:sz w:val="19"/>
                <w:szCs w:val="19"/>
              </w:rPr>
              <w:t>+0.088</w:t>
            </w:r>
          </w:p>
        </w:tc>
        <w:tc>
          <w:tcPr>
            <w:tcW w:w="1996" w:type="dxa"/>
            <w:tcBorders>
              <w:top w:val="single" w:sz="2" w:space="0" w:color="D3D1C7"/>
              <w:bottom w:val="single" w:sz="2" w:space="0" w:color="D3D1C7"/>
            </w:tcBorders>
            <w:shd w:color="auto" w:fill="F9F8F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712B13"/>
                <w:sz w:val="19"/>
                <w:szCs w:val="19"/>
              </w:rPr>
              <w:t>-0.006</w:t>
            </w:r>
          </w:p>
        </w:tc>
      </w:tr>
    </w:tbl>
    <w:p>
      <w:pPr>
        <w:pStyle w:val="Normal"/>
        <w:spacing w:before="80" w:after="280"/>
        <w:rPr>
          <w:i/>
          <w:iCs/>
          <w:color w:val="888780"/>
          <w:sz w:val="17"/>
          <w:szCs w:val="17"/>
        </w:rPr>
      </w:pPr>
      <w:r>
        <w:br w:type="page"/>
      </w:r>
      <w:r>
        <w:rPr>
          <w:i/>
          <w:iCs/>
          <w:color w:val="888780"/>
          <w:sz w:val="17"/>
          <w:szCs w:val="17"/>
        </w:rPr>
      </w:r>
    </w:p>
    <w:sectPr>
      <w:type w:val="nextPage"/>
      <w:pgSz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LibreOffice/25.8.7.3$Linux_X86_64 LibreOffice_project/580$Build-3</Application>
  <AppVersion>15.0000</AppVersion>
  <Pages>5</Pages>
  <Words>752</Words>
  <Characters>3665</Characters>
  <CharactersWithSpaces>4192</CharactersWithSpaces>
  <Paragraphs>276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2026-07-14T19:21:59Z</dcterms:created>
  <dc:creator>Un-named</dc:creator>
  <dc:description/>
  <dc:language>en-US</dc:language>
  <cp:lastModifiedBy/>
  <dcterms:modified xsi:type="dcterms:W3CDTF">2026-07-14T15:44:55Z</dcterms:modified>
  <cp:revision>2</cp:revision>
  <dc:subject/>
  <dc:title/>
</cp:coreProperties>
</file>