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3642E" w14:textId="0CE6FDD2" w:rsidR="00081FF4" w:rsidRPr="00AE4D92" w:rsidRDefault="00081FF4" w:rsidP="00081FF4">
      <w:pPr>
        <w:jc w:val="center"/>
        <w:rPr>
          <w:rFonts w:ascii="Consolas" w:hAnsi="Consolas"/>
          <w:lang w:val="en-GB"/>
        </w:rPr>
      </w:pPr>
      <w:r w:rsidRPr="00AE4D92">
        <w:rPr>
          <w:rFonts w:ascii="Consolas" w:hAnsi="Consolas"/>
          <w:sz w:val="36"/>
          <w:szCs w:val="36"/>
          <w:lang w:val="en-GB"/>
        </w:rPr>
        <w:t>Exercise</w:t>
      </w:r>
      <w:r w:rsidRPr="00AE4D92">
        <w:rPr>
          <w:rFonts w:ascii="Consolas" w:hAnsi="Consolas"/>
          <w:sz w:val="36"/>
          <w:szCs w:val="36"/>
          <w:lang w:val="en-GB"/>
        </w:rPr>
        <w:t xml:space="preserve"> </w:t>
      </w:r>
      <w:r w:rsidRPr="00AE4D92">
        <w:rPr>
          <w:rFonts w:ascii="Consolas" w:hAnsi="Consolas"/>
          <w:sz w:val="36"/>
          <w:szCs w:val="36"/>
          <w:lang w:val="en-GB"/>
        </w:rPr>
        <w:t xml:space="preserve">Stat-o-Sphere </w:t>
      </w:r>
      <w:r w:rsidRPr="00AE4D92">
        <w:rPr>
          <w:rFonts w:ascii="Consolas" w:hAnsi="Consolas"/>
          <w:sz w:val="36"/>
          <w:szCs w:val="36"/>
          <w:lang w:val="en-GB"/>
        </w:rPr>
        <w:t>R</w:t>
      </w:r>
      <w:r w:rsidRPr="00AE4D92">
        <w:rPr>
          <w:rFonts w:ascii="Consolas" w:hAnsi="Consolas"/>
          <w:sz w:val="36"/>
          <w:szCs w:val="36"/>
          <w:lang w:val="en-GB"/>
        </w:rPr>
        <w:t>-Basics</w:t>
      </w:r>
      <w:r w:rsidRPr="00AE4D92">
        <w:rPr>
          <w:rFonts w:ascii="Consolas" w:hAnsi="Consolas"/>
          <w:sz w:val="36"/>
          <w:szCs w:val="36"/>
          <w:lang w:val="en-GB"/>
        </w:rPr>
        <w:t xml:space="preserve"> Tutori</w:t>
      </w:r>
      <w:r w:rsidRPr="00AE4D92">
        <w:rPr>
          <w:rFonts w:ascii="Consolas" w:hAnsi="Consolas"/>
          <w:sz w:val="36"/>
          <w:szCs w:val="36"/>
          <w:lang w:val="en-GB"/>
        </w:rPr>
        <w:t>al (@JNOS)</w:t>
      </w:r>
      <w:r w:rsidRPr="00AE4D92">
        <w:rPr>
          <w:rFonts w:ascii="Consolas" w:hAnsi="Consolas"/>
          <w:sz w:val="36"/>
          <w:szCs w:val="36"/>
          <w:lang w:val="en-GB"/>
        </w:rPr>
        <w:t xml:space="preserve"> </w:t>
      </w:r>
    </w:p>
    <w:p w14:paraId="3D5205B3" w14:textId="77777777" w:rsidR="00081FF4" w:rsidRPr="00AE4D92" w:rsidRDefault="00081FF4" w:rsidP="00081FF4">
      <w:pPr>
        <w:rPr>
          <w:lang w:val="en-GB"/>
        </w:rPr>
      </w:pPr>
    </w:p>
    <w:p w14:paraId="2EFE96F7" w14:textId="09CECCDC" w:rsidR="00081FF4" w:rsidRPr="00AE4D92" w:rsidRDefault="00081FF4" w:rsidP="00AE4D92">
      <w:pPr>
        <w:rPr>
          <w:lang w:val="en-GB"/>
        </w:rPr>
      </w:pPr>
      <w:r w:rsidRPr="00081FF4">
        <w:rPr>
          <w:lang w:val="en-GB"/>
        </w:rPr>
        <w:t>Link  to R</w:t>
      </w:r>
      <w:r>
        <w:rPr>
          <w:lang w:val="en-GB"/>
        </w:rPr>
        <w:t>-</w:t>
      </w:r>
      <w:r w:rsidRPr="00081FF4">
        <w:rPr>
          <w:lang w:val="en-GB"/>
        </w:rPr>
        <w:t>Basics a</w:t>
      </w:r>
      <w:r>
        <w:rPr>
          <w:lang w:val="en-GB"/>
        </w:rPr>
        <w:t>rticle</w:t>
      </w:r>
      <w:r w:rsidR="00AE4D92">
        <w:rPr>
          <w:lang w:val="en-GB"/>
        </w:rPr>
        <w:t xml:space="preserve">: </w:t>
      </w:r>
      <w:hyperlink r:id="rId6" w:history="1">
        <w:r w:rsidR="00AE4D92" w:rsidRPr="004E1568">
          <w:rPr>
            <w:rStyle w:val="Hyperlink"/>
            <w:lang w:val="en-GB"/>
          </w:rPr>
          <w:t>https://doi.org/10.56776/abbd964d.665f7de5</w:t>
        </w:r>
      </w:hyperlink>
      <w:r w:rsidR="00AE4D92">
        <w:rPr>
          <w:lang w:val="en-GB"/>
        </w:rPr>
        <w:t xml:space="preserve"> </w:t>
      </w:r>
    </w:p>
    <w:p w14:paraId="53BAD042" w14:textId="1E7486F7" w:rsidR="00081FF4" w:rsidRPr="00081FF4" w:rsidRDefault="00AE4D92" w:rsidP="00081FF4">
      <w:pPr>
        <w:rPr>
          <w:lang w:val="en-GB"/>
        </w:rPr>
      </w:pPr>
      <w:r>
        <w:rPr>
          <w:lang w:val="en-GB"/>
        </w:rPr>
        <w:t># The below was translated from German to English via the help of ChatGPT.</w:t>
      </w:r>
    </w:p>
    <w:p w14:paraId="50EAC20E" w14:textId="77777777" w:rsidR="00AE4D92" w:rsidRDefault="00AE4D92" w:rsidP="00081FF4">
      <w:pPr>
        <w:rPr>
          <w:b/>
          <w:bCs/>
          <w:lang w:val="en-GB"/>
        </w:rPr>
      </w:pPr>
    </w:p>
    <w:p w14:paraId="4F2233A0" w14:textId="77777777" w:rsidR="00AE4D92" w:rsidRDefault="00081FF4" w:rsidP="00081FF4">
      <w:pPr>
        <w:rPr>
          <w:lang w:val="en-GB"/>
        </w:rPr>
      </w:pPr>
      <w:r w:rsidRPr="00081FF4">
        <w:rPr>
          <w:b/>
          <w:bCs/>
          <w:u w:val="single"/>
          <w:lang w:val="en-GB"/>
        </w:rPr>
        <w:t>CONTEXT:</w:t>
      </w:r>
    </w:p>
    <w:p w14:paraId="51E7B623" w14:textId="66CFDB70" w:rsidR="00081FF4" w:rsidRPr="00081FF4" w:rsidRDefault="00081FF4" w:rsidP="00081FF4">
      <w:pPr>
        <w:rPr>
          <w:lang w:val="en-GB"/>
        </w:rPr>
      </w:pPr>
      <w:r w:rsidRPr="00081FF4">
        <w:rPr>
          <w:lang w:val="en-GB"/>
        </w:rPr>
        <w:t>A t-test should be used to check whether a blood pressure-lowering drug makes a significant difference by comparing systolic blood pressure (</w:t>
      </w:r>
      <w:proofErr w:type="spellStart"/>
      <w:r w:rsidRPr="00081FF4">
        <w:rPr>
          <w:lang w:val="en-GB"/>
        </w:rPr>
        <w:t>sysRR</w:t>
      </w:r>
      <w:proofErr w:type="spellEnd"/>
      <w:r w:rsidRPr="00081FF4">
        <w:rPr>
          <w:lang w:val="en-GB"/>
        </w:rPr>
        <w:t xml:space="preserve">) before and after administration. (Keep in mind that this is a highly simplified practice exercise with a manageable dataset, so only </w:t>
      </w:r>
      <w:proofErr w:type="spellStart"/>
      <w:r w:rsidRPr="00081FF4">
        <w:rPr>
          <w:lang w:val="en-GB"/>
        </w:rPr>
        <w:t>sysRR</w:t>
      </w:r>
      <w:proofErr w:type="spellEnd"/>
      <w:r w:rsidRPr="00081FF4">
        <w:rPr>
          <w:lang w:val="en-GB"/>
        </w:rPr>
        <w:t xml:space="preserve"> is included, etc.)</w:t>
      </w:r>
    </w:p>
    <w:p w14:paraId="603198FB" w14:textId="0CFF0196" w:rsidR="00081FF4" w:rsidRPr="00081FF4" w:rsidRDefault="00081FF4" w:rsidP="00AE4D92">
      <w:pPr>
        <w:rPr>
          <w:lang w:val="en-GB"/>
        </w:rPr>
      </w:pPr>
      <w:r w:rsidRPr="00081FF4">
        <w:rPr>
          <w:lang w:val="en-GB"/>
        </w:rPr>
        <w:t>Read each point completely before starting the solution.</w:t>
      </w:r>
    </w:p>
    <w:p w14:paraId="4AA977CF" w14:textId="77777777" w:rsidR="00081FF4" w:rsidRPr="00081FF4" w:rsidRDefault="00081FF4" w:rsidP="00081FF4">
      <w:pPr>
        <w:rPr>
          <w:b/>
          <w:bCs/>
          <w:u w:val="single"/>
          <w:lang w:val="en-GB"/>
        </w:rPr>
      </w:pPr>
      <w:r w:rsidRPr="00081FF4">
        <w:rPr>
          <w:b/>
          <w:bCs/>
          <w:sz w:val="28"/>
          <w:szCs w:val="28"/>
          <w:u w:val="single"/>
          <w:lang w:val="en-GB"/>
        </w:rPr>
        <w:t>Instructions:</w:t>
      </w:r>
    </w:p>
    <w:p w14:paraId="6266177D" w14:textId="755D96DF" w:rsidR="00081FF4" w:rsidRPr="00081FF4" w:rsidRDefault="00081FF4" w:rsidP="00081FF4">
      <w:pPr>
        <w:rPr>
          <w:lang w:val="en-GB"/>
        </w:rPr>
      </w:pPr>
      <w:r w:rsidRPr="00081FF4">
        <w:rPr>
          <w:b/>
          <w:bCs/>
          <w:lang w:val="en-GB"/>
        </w:rPr>
        <w:t>a)</w:t>
      </w:r>
      <w:r w:rsidRPr="00081FF4">
        <w:rPr>
          <w:lang w:val="en-GB"/>
        </w:rPr>
        <w:t xml:space="preserve"> Create a new script (File -&gt; New File -&gt; New Script). First, import the dataset using read.csv("</w:t>
      </w:r>
      <w:proofErr w:type="spellStart"/>
      <w:r w:rsidRPr="00081FF4">
        <w:rPr>
          <w:lang w:val="en-GB"/>
        </w:rPr>
        <w:t>file_path_and_name</w:t>
      </w:r>
      <w:proofErr w:type="spellEnd"/>
      <w:r w:rsidRPr="00081FF4">
        <w:rPr>
          <w:lang w:val="en-GB"/>
        </w:rPr>
        <w:t xml:space="preserve">"), and choose an object name (essentially a variable/reference name for the imported table). </w:t>
      </w:r>
      <w:r w:rsidRPr="00081FF4">
        <w:rPr>
          <w:b/>
          <w:bCs/>
          <w:lang w:val="en-GB"/>
        </w:rPr>
        <w:t>Do NOT open the CSV in Excel beforehand</w:t>
      </w:r>
      <w:r w:rsidRPr="00081FF4">
        <w:rPr>
          <w:lang w:val="en-GB"/>
        </w:rPr>
        <w:t xml:space="preserve"> (as it may add extra quotation marks to the table). If you encounter errors during import, simply download the CSV file again. If an additional extension (.csv.xls) was added after downloading, remove it by renaming the file (so that only .csv remains). (</w:t>
      </w:r>
      <w:r>
        <w:rPr>
          <w:lang w:val="en-GB"/>
        </w:rPr>
        <w:t>s</w:t>
      </w:r>
      <w:r w:rsidRPr="00081FF4">
        <w:rPr>
          <w:lang w:val="en-GB"/>
        </w:rPr>
        <w:t xml:space="preserve">ee </w:t>
      </w:r>
      <w:hyperlink r:id="rId7" w:anchor="import-and-export-of-csv-files-understanding-delimiters-and-packages" w:history="1">
        <w:r w:rsidRPr="00081FF4">
          <w:rPr>
            <w:rStyle w:val="Hyperlink"/>
            <w:lang w:val="en-GB"/>
          </w:rPr>
          <w:t>Chapter 6</w:t>
        </w:r>
      </w:hyperlink>
      <w:r w:rsidRPr="00081FF4">
        <w:rPr>
          <w:lang w:val="en-GB"/>
        </w:rPr>
        <w:t xml:space="preserve">  on Import/Export.)</w:t>
      </w:r>
      <w:r w:rsidRPr="00081FF4">
        <w:rPr>
          <w:lang w:val="en-GB"/>
        </w:rPr>
        <w:br/>
        <w:t xml:space="preserve">Check whether the data is normally distributed using </w:t>
      </w:r>
      <w:proofErr w:type="spellStart"/>
      <w:r w:rsidRPr="00081FF4">
        <w:rPr>
          <w:lang w:val="en-GB"/>
        </w:rPr>
        <w:t>shapiro.test</w:t>
      </w:r>
      <w:proofErr w:type="spellEnd"/>
      <w:r w:rsidRPr="00081FF4">
        <w:rPr>
          <w:lang w:val="en-GB"/>
        </w:rPr>
        <w:t xml:space="preserve">() and plot(density())—for the </w:t>
      </w:r>
      <w:proofErr w:type="spellStart"/>
      <w:r w:rsidRPr="00081FF4">
        <w:rPr>
          <w:lang w:val="en-GB"/>
        </w:rPr>
        <w:t>sysRR</w:t>
      </w:r>
      <w:proofErr w:type="spellEnd"/>
      <w:r w:rsidRPr="00081FF4">
        <w:rPr>
          <w:lang w:val="en-GB"/>
        </w:rPr>
        <w:t xml:space="preserve"> values at time points t1 and t2. If you get an error, inspect the </w:t>
      </w:r>
      <w:proofErr w:type="spellStart"/>
      <w:r w:rsidRPr="00081FF4">
        <w:rPr>
          <w:lang w:val="en-GB"/>
        </w:rPr>
        <w:t>sysRR</w:t>
      </w:r>
      <w:proofErr w:type="spellEnd"/>
      <w:r w:rsidRPr="00081FF4">
        <w:rPr>
          <w:lang w:val="en-GB"/>
        </w:rPr>
        <w:t xml:space="preserve"> column in the console to diagnose the issue (then proceed to </w:t>
      </w:r>
      <w:r w:rsidRPr="00081FF4">
        <w:rPr>
          <w:b/>
          <w:bCs/>
          <w:lang w:val="en-GB"/>
        </w:rPr>
        <w:t>b</w:t>
      </w:r>
      <w:r w:rsidRPr="00081FF4">
        <w:rPr>
          <w:lang w:val="en-GB"/>
        </w:rPr>
        <w:t>) to resolve it).</w:t>
      </w:r>
    </w:p>
    <w:p w14:paraId="01A007B5" w14:textId="38B8B6A8" w:rsidR="00081FF4" w:rsidRPr="00081FF4" w:rsidRDefault="00081FF4" w:rsidP="00081FF4">
      <w:pPr>
        <w:rPr>
          <w:lang w:val="en-GB"/>
        </w:rPr>
      </w:pPr>
      <w:r w:rsidRPr="00081FF4">
        <w:rPr>
          <w:b/>
          <w:bCs/>
          <w:lang w:val="en-GB"/>
        </w:rPr>
        <w:t>b)</w:t>
      </w:r>
      <w:r w:rsidRPr="00081FF4">
        <w:rPr>
          <w:lang w:val="en-GB"/>
        </w:rPr>
        <w:t xml:space="preserve"> For participant 5, the </w:t>
      </w:r>
      <w:proofErr w:type="spellStart"/>
      <w:r w:rsidRPr="00081FF4">
        <w:rPr>
          <w:lang w:val="en-GB"/>
        </w:rPr>
        <w:t>sysRR</w:t>
      </w:r>
      <w:proofErr w:type="spellEnd"/>
      <w:r w:rsidRPr="00081FF4">
        <w:rPr>
          <w:lang w:val="en-GB"/>
        </w:rPr>
        <w:t xml:space="preserve"> value at t1 is missing. Enter the value </w:t>
      </w:r>
      <w:r w:rsidRPr="00081FF4">
        <w:rPr>
          <w:b/>
          <w:bCs/>
          <w:lang w:val="en-GB"/>
        </w:rPr>
        <w:t>"122 mmHg"</w:t>
      </w:r>
      <w:r w:rsidRPr="00081FF4">
        <w:rPr>
          <w:lang w:val="en-GB"/>
        </w:rPr>
        <w:t xml:space="preserve"> in your dataset, as you found it in your notes but forgot to include it in your Excel table... A Shapiro-Wilk test and t-test cannot be performed while this NA entry is present. Remember how to access specific positions in a dataset to modify entries—this was covered when discussing the c() function. (See </w:t>
      </w:r>
      <w:hyperlink r:id="rId8" w:anchor="classes-of-objects-vectors-matrices-arrays-lists-and-more" w:history="1">
        <w:r w:rsidRPr="00081FF4">
          <w:rPr>
            <w:rStyle w:val="Hyperlink"/>
            <w:lang w:val="en-GB"/>
          </w:rPr>
          <w:t>Chapter 5</w:t>
        </w:r>
      </w:hyperlink>
      <w:r w:rsidRPr="00081FF4">
        <w:rPr>
          <w:lang w:val="en-GB"/>
        </w:rPr>
        <w:t xml:space="preserve"> or check the corresponding section in the R Basic Code Script.)</w:t>
      </w:r>
    </w:p>
    <w:p w14:paraId="73545071" w14:textId="77777777" w:rsidR="00081FF4" w:rsidRPr="00081FF4" w:rsidRDefault="00081FF4" w:rsidP="00081FF4">
      <w:pPr>
        <w:rPr>
          <w:lang w:val="en-GB"/>
        </w:rPr>
      </w:pPr>
      <w:r w:rsidRPr="00081FF4">
        <w:rPr>
          <w:b/>
          <w:bCs/>
          <w:lang w:val="en-GB"/>
        </w:rPr>
        <w:t>c)</w:t>
      </w:r>
      <w:r w:rsidRPr="00081FF4">
        <w:rPr>
          <w:lang w:val="en-GB"/>
        </w:rPr>
        <w:t xml:space="preserve"> It turns out that the data is normally distributed (otherwise, we would have needed to use a Wilcoxon signed-rank test). Now, what type of t-test is required? Perform a t-test using the </w:t>
      </w:r>
      <w:proofErr w:type="spellStart"/>
      <w:r w:rsidRPr="00081FF4">
        <w:rPr>
          <w:lang w:val="en-GB"/>
        </w:rPr>
        <w:t>t.test</w:t>
      </w:r>
      <w:proofErr w:type="spellEnd"/>
      <w:r w:rsidRPr="00081FF4">
        <w:rPr>
          <w:lang w:val="en-GB"/>
        </w:rPr>
        <w:t>() function. Research how this function is used online, or check the documentation with ?</w:t>
      </w:r>
      <w:proofErr w:type="spellStart"/>
      <w:r w:rsidRPr="00081FF4">
        <w:rPr>
          <w:lang w:val="en-GB"/>
        </w:rPr>
        <w:t>t.test</w:t>
      </w:r>
      <w:proofErr w:type="spellEnd"/>
      <w:r w:rsidRPr="00081FF4">
        <w:rPr>
          <w:lang w:val="en-GB"/>
        </w:rPr>
        <w:t xml:space="preserve">(). Also, use the </w:t>
      </w:r>
      <w:proofErr w:type="spellStart"/>
      <w:r w:rsidRPr="00081FF4">
        <w:rPr>
          <w:b/>
          <w:bCs/>
          <w:lang w:val="en-GB"/>
        </w:rPr>
        <w:t>effsize</w:t>
      </w:r>
      <w:proofErr w:type="spellEnd"/>
      <w:r w:rsidRPr="00081FF4">
        <w:rPr>
          <w:lang w:val="en-GB"/>
        </w:rPr>
        <w:t xml:space="preserve"> package and the </w:t>
      </w:r>
      <w:proofErr w:type="spellStart"/>
      <w:r w:rsidRPr="00081FF4">
        <w:rPr>
          <w:lang w:val="en-GB"/>
        </w:rPr>
        <w:t>cohen.d</w:t>
      </w:r>
      <w:proofErr w:type="spellEnd"/>
      <w:r w:rsidRPr="00081FF4">
        <w:rPr>
          <w:lang w:val="en-GB"/>
        </w:rPr>
        <w:t>() function!</w:t>
      </w:r>
      <w:r w:rsidRPr="00081FF4">
        <w:rPr>
          <w:lang w:val="en-GB"/>
        </w:rPr>
        <w:br/>
        <w:t xml:space="preserve">When </w:t>
      </w:r>
      <w:proofErr w:type="spellStart"/>
      <w:r w:rsidRPr="00081FF4">
        <w:rPr>
          <w:lang w:val="en-GB"/>
        </w:rPr>
        <w:t>analyzing</w:t>
      </w:r>
      <w:proofErr w:type="spellEnd"/>
      <w:r w:rsidRPr="00081FF4">
        <w:rPr>
          <w:lang w:val="en-GB"/>
        </w:rPr>
        <w:t xml:space="preserve"> the results, consider </w:t>
      </w:r>
      <w:r w:rsidRPr="00081FF4">
        <w:rPr>
          <w:b/>
          <w:bCs/>
          <w:lang w:val="en-GB"/>
        </w:rPr>
        <w:t>means, mean difference, and standard deviation</w:t>
      </w:r>
      <w:r w:rsidRPr="00081FF4">
        <w:rPr>
          <w:lang w:val="en-GB"/>
        </w:rPr>
        <w:t xml:space="preserve">. Imagine a scenario where the standard deviation is -0.1 mmHg—then an effect size of 2 standard deviations (SD) would be minimal or irrelevant. (Thus, </w:t>
      </w:r>
      <w:r w:rsidRPr="00081FF4">
        <w:rPr>
          <w:lang w:val="en-GB"/>
        </w:rPr>
        <w:lastRenderedPageBreak/>
        <w:t xml:space="preserve">classifications such as "large" given by the </w:t>
      </w:r>
      <w:proofErr w:type="spellStart"/>
      <w:r w:rsidRPr="00081FF4">
        <w:rPr>
          <w:lang w:val="en-GB"/>
        </w:rPr>
        <w:t>cohen.d</w:t>
      </w:r>
      <w:proofErr w:type="spellEnd"/>
      <w:r w:rsidRPr="00081FF4">
        <w:rPr>
          <w:lang w:val="en-GB"/>
        </w:rPr>
        <w:t>() function should not be taken at face value—reflect on them yourself, as Cohen's scale has its limitations!)</w:t>
      </w:r>
      <w:r w:rsidRPr="00081FF4">
        <w:rPr>
          <w:lang w:val="en-GB"/>
        </w:rPr>
        <w:br/>
        <w:t xml:space="preserve">Different types of standard deviations exist for different forms of t-tests. Remember that if you assign a name to the output of </w:t>
      </w:r>
      <w:proofErr w:type="spellStart"/>
      <w:r w:rsidRPr="00081FF4">
        <w:rPr>
          <w:lang w:val="en-GB"/>
        </w:rPr>
        <w:t>t.test</w:t>
      </w:r>
      <w:proofErr w:type="spellEnd"/>
      <w:r w:rsidRPr="00081FF4">
        <w:rPr>
          <w:lang w:val="en-GB"/>
        </w:rPr>
        <w:t xml:space="preserve">(), you can extract individual values like the </w:t>
      </w:r>
      <w:r w:rsidRPr="00081FF4">
        <w:rPr>
          <w:b/>
          <w:bCs/>
          <w:lang w:val="en-GB"/>
        </w:rPr>
        <w:t>mean difference</w:t>
      </w:r>
      <w:r w:rsidRPr="00081FF4">
        <w:rPr>
          <w:lang w:val="en-GB"/>
        </w:rPr>
        <w:t xml:space="preserve"> (called estimate in the output) or </w:t>
      </w:r>
      <w:r w:rsidRPr="00081FF4">
        <w:rPr>
          <w:b/>
          <w:bCs/>
          <w:lang w:val="en-GB"/>
        </w:rPr>
        <w:t>SD</w:t>
      </w:r>
      <w:r w:rsidRPr="00081FF4">
        <w:rPr>
          <w:lang w:val="en-GB"/>
        </w:rPr>
        <w:t xml:space="preserve"> from the resulting list.</w:t>
      </w:r>
    </w:p>
    <w:p w14:paraId="049EE6E8" w14:textId="77777777" w:rsidR="00081FF4" w:rsidRPr="00081FF4" w:rsidRDefault="00081FF4" w:rsidP="00081FF4">
      <w:pPr>
        <w:rPr>
          <w:lang w:val="en-GB"/>
        </w:rPr>
      </w:pPr>
      <w:r w:rsidRPr="00081FF4">
        <w:rPr>
          <w:b/>
          <w:bCs/>
          <w:lang w:val="en-GB"/>
        </w:rPr>
        <w:t>d)</w:t>
      </w:r>
      <w:r w:rsidRPr="00081FF4">
        <w:rPr>
          <w:lang w:val="en-GB"/>
        </w:rPr>
        <w:t xml:space="preserve"> Normally, a power analysis is conducted before data collection and analysis. What </w:t>
      </w:r>
      <w:r w:rsidRPr="00081FF4">
        <w:rPr>
          <w:b/>
          <w:bCs/>
          <w:lang w:val="en-GB"/>
        </w:rPr>
        <w:t>sample size</w:t>
      </w:r>
      <w:r w:rsidRPr="00081FF4">
        <w:rPr>
          <w:lang w:val="en-GB"/>
        </w:rPr>
        <w:t xml:space="preserve"> would you typically need for this study, given a power of </w:t>
      </w:r>
      <w:r w:rsidRPr="00081FF4">
        <w:rPr>
          <w:b/>
          <w:bCs/>
          <w:lang w:val="en-GB"/>
        </w:rPr>
        <w:t>80%</w:t>
      </w:r>
      <w:r w:rsidRPr="00081FF4">
        <w:rPr>
          <w:lang w:val="en-GB"/>
        </w:rPr>
        <w:t xml:space="preserve">, a </w:t>
      </w:r>
      <w:r w:rsidRPr="00081FF4">
        <w:rPr>
          <w:b/>
          <w:bCs/>
          <w:lang w:val="en-GB"/>
        </w:rPr>
        <w:t>95% confidence interval</w:t>
      </w:r>
      <w:r w:rsidRPr="00081FF4">
        <w:rPr>
          <w:lang w:val="en-GB"/>
        </w:rPr>
        <w:t xml:space="preserve">, and a </w:t>
      </w:r>
      <w:r w:rsidRPr="00081FF4">
        <w:rPr>
          <w:b/>
          <w:bCs/>
          <w:lang w:val="en-GB"/>
        </w:rPr>
        <w:t>hypothetical effect size of 0.5</w:t>
      </w:r>
      <w:r w:rsidRPr="00081FF4">
        <w:rPr>
          <w:lang w:val="en-GB"/>
        </w:rPr>
        <w:t xml:space="preserve">? Use the </w:t>
      </w:r>
      <w:proofErr w:type="spellStart"/>
      <w:r w:rsidRPr="00081FF4">
        <w:rPr>
          <w:lang w:val="en-GB"/>
        </w:rPr>
        <w:t>pwr.t.test</w:t>
      </w:r>
      <w:proofErr w:type="spellEnd"/>
      <w:r w:rsidRPr="00081FF4">
        <w:rPr>
          <w:lang w:val="en-GB"/>
        </w:rPr>
        <w:t xml:space="preserve">() function from the </w:t>
      </w:r>
      <w:proofErr w:type="spellStart"/>
      <w:r w:rsidRPr="00081FF4">
        <w:rPr>
          <w:b/>
          <w:bCs/>
          <w:lang w:val="en-GB"/>
        </w:rPr>
        <w:t>pwr</w:t>
      </w:r>
      <w:proofErr w:type="spellEnd"/>
      <w:r w:rsidRPr="00081FF4">
        <w:rPr>
          <w:lang w:val="en-GB"/>
        </w:rPr>
        <w:t xml:space="preserve"> package.</w:t>
      </w:r>
    </w:p>
    <w:p w14:paraId="5F0D07DA" w14:textId="5E05A72E" w:rsidR="00081FF4" w:rsidRPr="00081FF4" w:rsidRDefault="00081FF4" w:rsidP="00081FF4">
      <w:pPr>
        <w:rPr>
          <w:lang w:val="en-GB"/>
        </w:rPr>
      </w:pPr>
      <w:r w:rsidRPr="00081FF4">
        <w:rPr>
          <w:b/>
          <w:bCs/>
          <w:lang w:val="en-GB"/>
        </w:rPr>
        <w:t>e)</w:t>
      </w:r>
      <w:r w:rsidRPr="00081FF4">
        <w:rPr>
          <w:lang w:val="en-GB"/>
        </w:rPr>
        <w:t xml:space="preserve"> Clean up the column "fam" (family history). Replace all NA values with "</w:t>
      </w:r>
      <w:r w:rsidR="00AE4D92">
        <w:rPr>
          <w:lang w:val="en-GB"/>
        </w:rPr>
        <w:t>not specified</w:t>
      </w:r>
      <w:r w:rsidRPr="00081FF4">
        <w:rPr>
          <w:lang w:val="en-GB"/>
        </w:rPr>
        <w:t xml:space="preserve">" (no information). Use the functions is.na(), which(), and unique(). (See </w:t>
      </w:r>
      <w:hyperlink r:id="rId9" w:anchor="example-vi-adjusting-character-string-entries" w:history="1">
        <w:r w:rsidRPr="00410E90">
          <w:rPr>
            <w:rStyle w:val="Hyperlink"/>
            <w:rFonts w:asciiTheme="majorHAnsi" w:hAnsiTheme="majorHAnsi"/>
          </w:rPr>
          <w:t>Chapter</w:t>
        </w:r>
        <w:r w:rsidRPr="00D57C40">
          <w:rPr>
            <w:rStyle w:val="Hyperlink"/>
            <w:rFonts w:ascii="Consolas" w:hAnsi="Consolas"/>
          </w:rPr>
          <w:t xml:space="preserve"> 8.6</w:t>
        </w:r>
      </w:hyperlink>
      <w:r w:rsidRPr="00081FF4">
        <w:rPr>
          <w:lang w:val="en-GB"/>
        </w:rPr>
        <w:t>)</w:t>
      </w:r>
    </w:p>
    <w:p w14:paraId="11F33188" w14:textId="77777777" w:rsidR="00081FF4" w:rsidRPr="00081FF4" w:rsidRDefault="00081FF4" w:rsidP="00081FF4">
      <w:pPr>
        <w:rPr>
          <w:lang w:val="en-GB"/>
        </w:rPr>
      </w:pPr>
      <w:r w:rsidRPr="00081FF4">
        <w:rPr>
          <w:b/>
          <w:bCs/>
          <w:lang w:val="en-GB"/>
        </w:rPr>
        <w:t>f)</w:t>
      </w:r>
      <w:r w:rsidRPr="00081FF4">
        <w:rPr>
          <w:lang w:val="en-GB"/>
        </w:rPr>
        <w:t xml:space="preserve"> Create a </w:t>
      </w:r>
      <w:r w:rsidRPr="00081FF4">
        <w:rPr>
          <w:b/>
          <w:bCs/>
          <w:lang w:val="en-GB"/>
        </w:rPr>
        <w:t>pie chart</w:t>
      </w:r>
      <w:r w:rsidRPr="00081FF4">
        <w:rPr>
          <w:lang w:val="en-GB"/>
        </w:rPr>
        <w:t xml:space="preserve"> using pie(table(</w:t>
      </w:r>
      <w:proofErr w:type="spellStart"/>
      <w:r w:rsidRPr="00081FF4">
        <w:rPr>
          <w:lang w:val="en-GB"/>
        </w:rPr>
        <w:t>dataset_name$fam</w:t>
      </w:r>
      <w:proofErr w:type="spellEnd"/>
      <w:r w:rsidRPr="00081FF4">
        <w:rPr>
          <w:lang w:val="en-GB"/>
        </w:rPr>
        <w:t>)). First, use table() to create a frequency table from the "fam" column, then generate the pie chart. Consider the structure of your frequency table—are there redundancies?</w:t>
      </w:r>
    </w:p>
    <w:p w14:paraId="53D28FF2" w14:textId="4FE92C2D" w:rsidR="00AE4D92" w:rsidRPr="00081FF4" w:rsidRDefault="00081FF4" w:rsidP="00AE4D92">
      <w:pPr>
        <w:rPr>
          <w:lang w:val="en-GB"/>
        </w:rPr>
      </w:pPr>
      <w:r w:rsidRPr="00081FF4">
        <w:rPr>
          <w:b/>
          <w:bCs/>
          <w:lang w:val="en-GB"/>
        </w:rPr>
        <w:t>g)</w:t>
      </w:r>
      <w:r w:rsidRPr="00081FF4">
        <w:rPr>
          <w:lang w:val="en-GB"/>
        </w:rPr>
        <w:t xml:space="preserve"> Once all columns are cleaned up, </w:t>
      </w:r>
      <w:r w:rsidRPr="00081FF4">
        <w:rPr>
          <w:b/>
          <w:bCs/>
          <w:lang w:val="en-GB"/>
        </w:rPr>
        <w:t>export the dataset</w:t>
      </w:r>
      <w:r w:rsidRPr="00081FF4">
        <w:rPr>
          <w:lang w:val="en-GB"/>
        </w:rPr>
        <w:t xml:space="preserve"> as a .csv file using write.csv(</w:t>
      </w:r>
      <w:proofErr w:type="spellStart"/>
      <w:r w:rsidRPr="00081FF4">
        <w:rPr>
          <w:lang w:val="en-GB"/>
        </w:rPr>
        <w:t>your_table_name</w:t>
      </w:r>
      <w:proofErr w:type="spellEnd"/>
      <w:r w:rsidRPr="00081FF4">
        <w:rPr>
          <w:lang w:val="en-GB"/>
        </w:rPr>
        <w:t xml:space="preserve">, "your_file_path_and_name.csv"). (See </w:t>
      </w:r>
      <w:hyperlink r:id="rId10" w:anchor="import-and-export-of-csv-files-understanding-delimiters-and-packages" w:history="1">
        <w:r w:rsidRPr="00081FF4">
          <w:rPr>
            <w:rStyle w:val="Hyperlink"/>
            <w:lang w:val="en-GB"/>
          </w:rPr>
          <w:t>Chapter 6</w:t>
        </w:r>
      </w:hyperlink>
      <w:r w:rsidRPr="00081FF4">
        <w:rPr>
          <w:lang w:val="en-GB"/>
        </w:rPr>
        <w:t xml:space="preserve"> on Import/Export.)</w:t>
      </w:r>
    </w:p>
    <w:p w14:paraId="45973F73" w14:textId="41A3146A" w:rsidR="00081FF4" w:rsidRPr="00081FF4" w:rsidRDefault="00081FF4" w:rsidP="00AE4D92">
      <w:pPr>
        <w:jc w:val="center"/>
        <w:rPr>
          <w:b/>
          <w:bCs/>
          <w:sz w:val="36"/>
          <w:szCs w:val="36"/>
          <w:lang w:val="en-GB"/>
        </w:rPr>
      </w:pPr>
      <w:r w:rsidRPr="00081FF4">
        <w:rPr>
          <w:b/>
          <w:bCs/>
          <w:sz w:val="36"/>
          <w:szCs w:val="36"/>
          <w:lang w:val="en-GB"/>
        </w:rPr>
        <w:t>Bonus Exercise</w:t>
      </w:r>
    </w:p>
    <w:p w14:paraId="566A03DB" w14:textId="72CAE7BD" w:rsidR="00081FF4" w:rsidRPr="00081FF4" w:rsidRDefault="00081FF4" w:rsidP="00081FF4">
      <w:pPr>
        <w:rPr>
          <w:lang w:val="en-GB"/>
        </w:rPr>
      </w:pPr>
      <w:r w:rsidRPr="00081FF4">
        <w:rPr>
          <w:b/>
          <w:bCs/>
          <w:lang w:val="en-GB"/>
        </w:rPr>
        <w:t>a)</w:t>
      </w:r>
      <w:r w:rsidRPr="00081FF4">
        <w:rPr>
          <w:lang w:val="en-GB"/>
        </w:rPr>
        <w:t xml:space="preserve"> Create a </w:t>
      </w:r>
      <w:r w:rsidRPr="00081FF4">
        <w:rPr>
          <w:b/>
          <w:bCs/>
          <w:lang w:val="en-GB"/>
        </w:rPr>
        <w:t>small synthetic dataset</w:t>
      </w:r>
      <w:r w:rsidRPr="00081FF4">
        <w:rPr>
          <w:lang w:val="en-GB"/>
        </w:rPr>
        <w:t xml:space="preserve"> to test the </w:t>
      </w:r>
      <w:proofErr w:type="spellStart"/>
      <w:r w:rsidRPr="00081FF4">
        <w:rPr>
          <w:lang w:val="en-GB"/>
        </w:rPr>
        <w:t>na.omit</w:t>
      </w:r>
      <w:proofErr w:type="spellEnd"/>
      <w:r w:rsidRPr="00081FF4">
        <w:rPr>
          <w:lang w:val="en-GB"/>
        </w:rPr>
        <w:t xml:space="preserve">() function or another method for handling missing values. For example, make two columns and three rows, with each column containing one NA. Use the functions c(), </w:t>
      </w:r>
      <w:proofErr w:type="spellStart"/>
      <w:r w:rsidRPr="00081FF4">
        <w:rPr>
          <w:lang w:val="en-GB"/>
        </w:rPr>
        <w:t>cbind</w:t>
      </w:r>
      <w:proofErr w:type="spellEnd"/>
      <w:r w:rsidRPr="00081FF4">
        <w:rPr>
          <w:lang w:val="en-GB"/>
        </w:rPr>
        <w:t xml:space="preserve">(), and possibly </w:t>
      </w:r>
      <w:proofErr w:type="spellStart"/>
      <w:r w:rsidRPr="00081FF4">
        <w:rPr>
          <w:lang w:val="en-GB"/>
        </w:rPr>
        <w:t>as.data.frame</w:t>
      </w:r>
      <w:proofErr w:type="spellEnd"/>
      <w:r w:rsidRPr="00081FF4">
        <w:rPr>
          <w:lang w:val="en-GB"/>
        </w:rPr>
        <w:t xml:space="preserve">(). (See Chapter </w:t>
      </w:r>
      <w:hyperlink r:id="rId11" w:anchor="representation-of-solutionalgorithm-ii-from-example-ii-via-tidyverse-and-the-dangers-of-the-naomit-function" w:history="1">
        <w:r w:rsidRPr="00D57C40">
          <w:rPr>
            <w:rStyle w:val="Hyperlink"/>
          </w:rPr>
          <w:t>Chapter 8.5.1</w:t>
        </w:r>
      </w:hyperlink>
      <w:r w:rsidRPr="00081FF4">
        <w:rPr>
          <w:lang w:val="en-GB"/>
        </w:rPr>
        <w:t>)</w:t>
      </w:r>
    </w:p>
    <w:p w14:paraId="3C22C3AC" w14:textId="236BE5E3" w:rsidR="00081FF4" w:rsidRPr="00081FF4" w:rsidRDefault="00081FF4" w:rsidP="00081FF4">
      <w:pPr>
        <w:rPr>
          <w:lang w:val="en-GB"/>
        </w:rPr>
      </w:pPr>
      <w:r w:rsidRPr="00081FF4">
        <w:rPr>
          <w:b/>
          <w:bCs/>
          <w:lang w:val="en-GB"/>
        </w:rPr>
        <w:t>b)</w:t>
      </w:r>
      <w:r w:rsidRPr="00081FF4">
        <w:rPr>
          <w:lang w:val="en-GB"/>
        </w:rPr>
        <w:t xml:space="preserve"> </w:t>
      </w:r>
      <w:r w:rsidRPr="00081FF4">
        <w:rPr>
          <w:b/>
          <w:bCs/>
          <w:lang w:val="en-GB"/>
        </w:rPr>
        <w:t>Reformat the table</w:t>
      </w:r>
      <w:r w:rsidRPr="00081FF4">
        <w:rPr>
          <w:lang w:val="en-GB"/>
        </w:rPr>
        <w:t xml:space="preserve"> so that </w:t>
      </w:r>
      <w:proofErr w:type="spellStart"/>
      <w:r w:rsidRPr="00081FF4">
        <w:rPr>
          <w:lang w:val="en-GB"/>
        </w:rPr>
        <w:t>sysRR</w:t>
      </w:r>
      <w:proofErr w:type="spellEnd"/>
      <w:r w:rsidRPr="00081FF4">
        <w:rPr>
          <w:lang w:val="en-GB"/>
        </w:rPr>
        <w:t xml:space="preserve"> values for </w:t>
      </w:r>
      <w:r w:rsidRPr="00081FF4">
        <w:rPr>
          <w:b/>
          <w:bCs/>
          <w:lang w:val="en-GB"/>
        </w:rPr>
        <w:t>t1 and t2</w:t>
      </w:r>
      <w:r w:rsidRPr="00081FF4">
        <w:rPr>
          <w:lang w:val="en-GB"/>
        </w:rPr>
        <w:t xml:space="preserve"> appear side by side in a single table. This should eliminate redundancies in the </w:t>
      </w:r>
      <w:proofErr w:type="spellStart"/>
      <w:r w:rsidRPr="00081FF4">
        <w:rPr>
          <w:b/>
          <w:bCs/>
          <w:lang w:val="en-GB"/>
        </w:rPr>
        <w:t>patient_id</w:t>
      </w:r>
      <w:proofErr w:type="spellEnd"/>
      <w:r w:rsidRPr="00081FF4">
        <w:rPr>
          <w:lang w:val="en-GB"/>
        </w:rPr>
        <w:t xml:space="preserve"> and "fam" column. Use the </w:t>
      </w:r>
      <w:proofErr w:type="spellStart"/>
      <w:r w:rsidRPr="00081FF4">
        <w:rPr>
          <w:lang w:val="en-GB"/>
        </w:rPr>
        <w:t>cbind</w:t>
      </w:r>
      <w:proofErr w:type="spellEnd"/>
      <w:r w:rsidRPr="00081FF4">
        <w:rPr>
          <w:lang w:val="en-GB"/>
        </w:rPr>
        <w:t xml:space="preserve">() function. You may also need </w:t>
      </w:r>
      <w:proofErr w:type="spellStart"/>
      <w:r w:rsidRPr="00081FF4">
        <w:rPr>
          <w:lang w:val="en-GB"/>
        </w:rPr>
        <w:t>colnames</w:t>
      </w:r>
      <w:proofErr w:type="spellEnd"/>
      <w:r w:rsidRPr="00081FF4">
        <w:rPr>
          <w:lang w:val="en-GB"/>
        </w:rPr>
        <w:t xml:space="preserve">(). (See </w:t>
      </w:r>
      <w:hyperlink r:id="rId12" w:anchor="classes-of-objects-vectors-matrices-arrays-lists-and-more" w:history="1">
        <w:r w:rsidRPr="00D57C40">
          <w:rPr>
            <w:rStyle w:val="Hyperlink"/>
          </w:rPr>
          <w:t>Chapter 5</w:t>
        </w:r>
      </w:hyperlink>
      <w:r>
        <w:t xml:space="preserve"> and </w:t>
      </w:r>
      <w:hyperlink r:id="rId13" w:anchor="example-xiii-converting-wide-into-long-format" w:history="1">
        <w:r w:rsidRPr="00D57C40">
          <w:rPr>
            <w:rStyle w:val="Hyperlink"/>
          </w:rPr>
          <w:t>Chapter 8.13</w:t>
        </w:r>
      </w:hyperlink>
      <w:r w:rsidRPr="00081FF4">
        <w:rPr>
          <w:lang w:val="en-GB"/>
        </w:rPr>
        <w:t>)</w:t>
      </w:r>
    </w:p>
    <w:p w14:paraId="1CB97288" w14:textId="7CB84B41" w:rsidR="00081FF4" w:rsidRPr="00081FF4" w:rsidRDefault="00081FF4" w:rsidP="00081FF4">
      <w:pPr>
        <w:rPr>
          <w:lang w:val="en-GB"/>
        </w:rPr>
      </w:pPr>
      <w:r w:rsidRPr="00081FF4">
        <w:rPr>
          <w:b/>
          <w:bCs/>
          <w:lang w:val="en-GB"/>
        </w:rPr>
        <w:t>c)</w:t>
      </w:r>
      <w:r w:rsidRPr="00081FF4">
        <w:rPr>
          <w:lang w:val="en-GB"/>
        </w:rPr>
        <w:t xml:space="preserve"> Add a new column to the dataset and </w:t>
      </w:r>
      <w:r w:rsidRPr="00081FF4">
        <w:rPr>
          <w:b/>
          <w:bCs/>
          <w:lang w:val="en-GB"/>
        </w:rPr>
        <w:t xml:space="preserve">compute the </w:t>
      </w:r>
      <w:proofErr w:type="spellStart"/>
      <w:r w:rsidRPr="00081FF4">
        <w:rPr>
          <w:b/>
          <w:bCs/>
          <w:lang w:val="en-GB"/>
        </w:rPr>
        <w:t>sysRR</w:t>
      </w:r>
      <w:proofErr w:type="spellEnd"/>
      <w:r w:rsidRPr="00081FF4">
        <w:rPr>
          <w:b/>
          <w:bCs/>
          <w:lang w:val="en-GB"/>
        </w:rPr>
        <w:t xml:space="preserve"> difference algorithmically</w:t>
      </w:r>
      <w:r w:rsidRPr="00081FF4">
        <w:rPr>
          <w:lang w:val="en-GB"/>
        </w:rPr>
        <w:t xml:space="preserve"> in R. Use </w:t>
      </w:r>
      <w:proofErr w:type="spellStart"/>
      <w:r w:rsidRPr="00081FF4">
        <w:rPr>
          <w:lang w:val="en-GB"/>
        </w:rPr>
        <w:t>cbind</w:t>
      </w:r>
      <w:proofErr w:type="spellEnd"/>
      <w:r w:rsidRPr="00081FF4">
        <w:rPr>
          <w:lang w:val="en-GB"/>
        </w:rPr>
        <w:t xml:space="preserve">() and c(0) to initialize an empty column filled with zeros. (See </w:t>
      </w:r>
      <w:hyperlink r:id="rId14" w:anchor="example-ix-working-with-redundant-columns" w:history="1">
        <w:r w:rsidRPr="00D57C40">
          <w:rPr>
            <w:rStyle w:val="Hyperlink"/>
          </w:rPr>
          <w:t>Chapter 8.9</w:t>
        </w:r>
      </w:hyperlink>
      <w:r>
        <w:t>)</w:t>
      </w:r>
      <w:r w:rsidRPr="00081FF4">
        <w:rPr>
          <w:lang w:val="en-GB"/>
        </w:rPr>
        <w:t>)</w:t>
      </w:r>
    </w:p>
    <w:p w14:paraId="116B851B" w14:textId="77777777" w:rsidR="00081FF4" w:rsidRPr="00081FF4" w:rsidRDefault="00081FF4" w:rsidP="00081FF4">
      <w:pPr>
        <w:rPr>
          <w:lang w:val="en-GB"/>
        </w:rPr>
      </w:pPr>
      <w:r w:rsidRPr="00081FF4">
        <w:rPr>
          <w:b/>
          <w:bCs/>
          <w:lang w:val="en-GB"/>
        </w:rPr>
        <w:t>d)</w:t>
      </w:r>
      <w:r w:rsidRPr="00081FF4">
        <w:rPr>
          <w:lang w:val="en-GB"/>
        </w:rPr>
        <w:t xml:space="preserve"> </w:t>
      </w:r>
      <w:r w:rsidRPr="00081FF4">
        <w:rPr>
          <w:b/>
          <w:bCs/>
          <w:lang w:val="en-GB"/>
        </w:rPr>
        <w:t>Determine how many participants</w:t>
      </w:r>
      <w:r w:rsidRPr="00081FF4">
        <w:rPr>
          <w:lang w:val="en-GB"/>
        </w:rPr>
        <w:t xml:space="preserve"> had a </w:t>
      </w:r>
      <w:proofErr w:type="spellStart"/>
      <w:r w:rsidRPr="00081FF4">
        <w:rPr>
          <w:b/>
          <w:bCs/>
          <w:lang w:val="en-GB"/>
        </w:rPr>
        <w:t>sysRR</w:t>
      </w:r>
      <w:proofErr w:type="spellEnd"/>
      <w:r w:rsidRPr="00081FF4">
        <w:rPr>
          <w:b/>
          <w:bCs/>
          <w:lang w:val="en-GB"/>
        </w:rPr>
        <w:t xml:space="preserve"> difference of ≥10</w:t>
      </w:r>
      <w:r w:rsidRPr="00081FF4">
        <w:rPr>
          <w:lang w:val="en-GB"/>
        </w:rPr>
        <w:t xml:space="preserve">. The solution approach is found only in the </w:t>
      </w:r>
      <w:r w:rsidRPr="00081FF4">
        <w:rPr>
          <w:b/>
          <w:bCs/>
          <w:lang w:val="en-GB"/>
        </w:rPr>
        <w:t>solutions or online</w:t>
      </w:r>
      <w:r w:rsidRPr="00081FF4">
        <w:rPr>
          <w:lang w:val="en-GB"/>
        </w:rPr>
        <w:t>, not in the slides. Use the &gt;= operator and the which() function (so far, we've only used ==).</w:t>
      </w:r>
    </w:p>
    <w:p w14:paraId="64DE0B0A" w14:textId="77777777" w:rsidR="00081FF4" w:rsidRPr="00081FF4" w:rsidRDefault="00081FF4" w:rsidP="00081FF4">
      <w:pPr>
        <w:rPr>
          <w:lang w:val="en-GB"/>
        </w:rPr>
      </w:pPr>
      <w:r w:rsidRPr="00081FF4">
        <w:rPr>
          <w:b/>
          <w:bCs/>
          <w:lang w:val="en-GB"/>
        </w:rPr>
        <w:t>e) (Optional)</w:t>
      </w:r>
      <w:r w:rsidRPr="00081FF4">
        <w:rPr>
          <w:lang w:val="en-GB"/>
        </w:rPr>
        <w:t xml:space="preserve"> Create a nicely formatted table in R using the following code:</w:t>
      </w:r>
    </w:p>
    <w:p w14:paraId="497B8978" w14:textId="77777777" w:rsidR="00081FF4" w:rsidRPr="00DC5C34" w:rsidRDefault="00081FF4" w:rsidP="00081FF4">
      <w:pPr>
        <w:spacing w:line="240" w:lineRule="auto"/>
        <w:ind w:left="708"/>
        <w:rPr>
          <w:rFonts w:ascii="Consolas" w:hAnsi="Consolas"/>
          <w:sz w:val="22"/>
          <w:szCs w:val="22"/>
          <w:lang w:val="en-GB"/>
        </w:rPr>
      </w:pPr>
      <w:r w:rsidRPr="00DC5C34">
        <w:rPr>
          <w:rFonts w:ascii="Consolas" w:hAnsi="Consolas"/>
          <w:sz w:val="22"/>
          <w:szCs w:val="22"/>
          <w:lang w:val="en-GB"/>
        </w:rPr>
        <w:t xml:space="preserve"># </w:t>
      </w:r>
      <w:proofErr w:type="spellStart"/>
      <w:r w:rsidRPr="00DC5C34">
        <w:rPr>
          <w:rFonts w:ascii="Consolas" w:hAnsi="Consolas"/>
          <w:sz w:val="22"/>
          <w:szCs w:val="22"/>
          <w:lang w:val="en-GB"/>
        </w:rPr>
        <w:t>install.packages</w:t>
      </w:r>
      <w:proofErr w:type="spellEnd"/>
      <w:r w:rsidRPr="00DC5C34">
        <w:rPr>
          <w:rFonts w:ascii="Consolas" w:hAnsi="Consolas"/>
          <w:sz w:val="22"/>
          <w:szCs w:val="22"/>
          <w:lang w:val="en-GB"/>
        </w:rPr>
        <w:t>("</w:t>
      </w:r>
      <w:proofErr w:type="spellStart"/>
      <w:r w:rsidRPr="00DC5C34">
        <w:rPr>
          <w:rFonts w:ascii="Consolas" w:hAnsi="Consolas"/>
          <w:sz w:val="22"/>
          <w:szCs w:val="22"/>
          <w:lang w:val="en-GB"/>
        </w:rPr>
        <w:t>gt</w:t>
      </w:r>
      <w:proofErr w:type="spellEnd"/>
      <w:r w:rsidRPr="00DC5C34">
        <w:rPr>
          <w:rFonts w:ascii="Consolas" w:hAnsi="Consolas"/>
          <w:sz w:val="22"/>
          <w:szCs w:val="22"/>
          <w:lang w:val="en-GB"/>
        </w:rPr>
        <w:t>")</w:t>
      </w:r>
    </w:p>
    <w:p w14:paraId="23559664" w14:textId="77777777" w:rsidR="00081FF4" w:rsidRPr="00DC5C34" w:rsidRDefault="00081FF4" w:rsidP="00081FF4">
      <w:pPr>
        <w:spacing w:line="240" w:lineRule="auto"/>
        <w:ind w:left="708"/>
        <w:rPr>
          <w:rFonts w:ascii="Consolas" w:hAnsi="Consolas"/>
          <w:sz w:val="22"/>
          <w:szCs w:val="22"/>
          <w:lang w:val="en-GB"/>
        </w:rPr>
      </w:pPr>
      <w:r w:rsidRPr="00DC5C34">
        <w:rPr>
          <w:rFonts w:ascii="Consolas" w:hAnsi="Consolas"/>
          <w:sz w:val="22"/>
          <w:szCs w:val="22"/>
          <w:lang w:val="en-GB"/>
        </w:rPr>
        <w:t>library(</w:t>
      </w:r>
      <w:proofErr w:type="spellStart"/>
      <w:r w:rsidRPr="00DC5C34">
        <w:rPr>
          <w:rFonts w:ascii="Consolas" w:hAnsi="Consolas"/>
          <w:sz w:val="22"/>
          <w:szCs w:val="22"/>
          <w:lang w:val="en-GB"/>
        </w:rPr>
        <w:t>gt</w:t>
      </w:r>
      <w:proofErr w:type="spellEnd"/>
      <w:r w:rsidRPr="00DC5C34">
        <w:rPr>
          <w:rFonts w:ascii="Consolas" w:hAnsi="Consolas"/>
          <w:sz w:val="22"/>
          <w:szCs w:val="22"/>
          <w:lang w:val="en-GB"/>
        </w:rPr>
        <w:t>)</w:t>
      </w:r>
    </w:p>
    <w:p w14:paraId="2BEFE17A" w14:textId="12DB9565" w:rsidR="00ED51E8" w:rsidRPr="00AE4D92" w:rsidRDefault="00081FF4" w:rsidP="00AE4D92">
      <w:pPr>
        <w:spacing w:line="240" w:lineRule="auto"/>
        <w:ind w:left="708"/>
        <w:rPr>
          <w:rFonts w:ascii="Consolas" w:hAnsi="Consolas"/>
          <w:sz w:val="22"/>
          <w:szCs w:val="22"/>
        </w:rPr>
      </w:pPr>
      <w:proofErr w:type="spellStart"/>
      <w:r w:rsidRPr="00DC5C34">
        <w:rPr>
          <w:rFonts w:ascii="Consolas" w:hAnsi="Consolas"/>
          <w:sz w:val="22"/>
          <w:szCs w:val="22"/>
        </w:rPr>
        <w:t>gt</w:t>
      </w:r>
      <w:proofErr w:type="spellEnd"/>
      <w:r w:rsidRPr="00DC5C34">
        <w:rPr>
          <w:rFonts w:ascii="Consolas" w:hAnsi="Consolas"/>
          <w:sz w:val="22"/>
          <w:szCs w:val="22"/>
        </w:rPr>
        <w:t>(</w:t>
      </w:r>
      <w:proofErr w:type="spellStart"/>
      <w:r w:rsidRPr="00DC5C34">
        <w:rPr>
          <w:rFonts w:ascii="Consolas" w:hAnsi="Consolas"/>
          <w:sz w:val="22"/>
          <w:szCs w:val="22"/>
        </w:rPr>
        <w:t>reformatierte_tabelle</w:t>
      </w:r>
      <w:proofErr w:type="spellEnd"/>
      <w:r w:rsidRPr="00DC5C34">
        <w:rPr>
          <w:rFonts w:ascii="Consolas" w:hAnsi="Consolas"/>
          <w:sz w:val="22"/>
          <w:szCs w:val="22"/>
        </w:rPr>
        <w:t>)</w:t>
      </w:r>
    </w:p>
    <w:sectPr w:rsidR="00ED51E8" w:rsidRPr="00AE4D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163F5"/>
    <w:multiLevelType w:val="hybridMultilevel"/>
    <w:tmpl w:val="2ED63BBC"/>
    <w:lvl w:ilvl="0" w:tplc="CEA07490">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DF15F6C"/>
    <w:multiLevelType w:val="hybridMultilevel"/>
    <w:tmpl w:val="90D4B2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C91112"/>
    <w:multiLevelType w:val="hybridMultilevel"/>
    <w:tmpl w:val="851604D8"/>
    <w:lvl w:ilvl="0" w:tplc="3892A09C">
      <w:start w:val="1"/>
      <w:numFmt w:val="lowerLetter"/>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5018910">
    <w:abstractNumId w:val="2"/>
  </w:num>
  <w:num w:numId="2" w16cid:durableId="655500112">
    <w:abstractNumId w:val="0"/>
  </w:num>
  <w:num w:numId="3" w16cid:durableId="165066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F4"/>
    <w:rsid w:val="00081FF4"/>
    <w:rsid w:val="002D67B5"/>
    <w:rsid w:val="003C76B2"/>
    <w:rsid w:val="00987AA4"/>
    <w:rsid w:val="00AE4D92"/>
    <w:rsid w:val="00B62096"/>
    <w:rsid w:val="00ED51E8"/>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71CA"/>
  <w15:chartTrackingRefBased/>
  <w15:docId w15:val="{B34EEBBF-E169-45DB-88B3-DC58C5E9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1FF4"/>
  </w:style>
  <w:style w:type="paragraph" w:styleId="berschrift1">
    <w:name w:val="heading 1"/>
    <w:basedOn w:val="Standard"/>
    <w:next w:val="Standard"/>
    <w:link w:val="berschrift1Zchn"/>
    <w:uiPriority w:val="9"/>
    <w:qFormat/>
    <w:rsid w:val="00081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1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1F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1F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1F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1F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1F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1F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1F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F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1F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1F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1F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1F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1F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1F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1F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1FF4"/>
    <w:rPr>
      <w:rFonts w:eastAsiaTheme="majorEastAsia" w:cstheme="majorBidi"/>
      <w:color w:val="272727" w:themeColor="text1" w:themeTint="D8"/>
    </w:rPr>
  </w:style>
  <w:style w:type="paragraph" w:styleId="Titel">
    <w:name w:val="Title"/>
    <w:basedOn w:val="Standard"/>
    <w:next w:val="Standard"/>
    <w:link w:val="TitelZchn"/>
    <w:uiPriority w:val="10"/>
    <w:qFormat/>
    <w:rsid w:val="00081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F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1F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1F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1F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1FF4"/>
    <w:rPr>
      <w:i/>
      <w:iCs/>
      <w:color w:val="404040" w:themeColor="text1" w:themeTint="BF"/>
    </w:rPr>
  </w:style>
  <w:style w:type="paragraph" w:styleId="Listenabsatz">
    <w:name w:val="List Paragraph"/>
    <w:basedOn w:val="Standard"/>
    <w:uiPriority w:val="34"/>
    <w:qFormat/>
    <w:rsid w:val="00081FF4"/>
    <w:pPr>
      <w:ind w:left="720"/>
      <w:contextualSpacing/>
    </w:pPr>
  </w:style>
  <w:style w:type="character" w:styleId="IntensiveHervorhebung">
    <w:name w:val="Intense Emphasis"/>
    <w:basedOn w:val="Absatz-Standardschriftart"/>
    <w:uiPriority w:val="21"/>
    <w:qFormat/>
    <w:rsid w:val="00081FF4"/>
    <w:rPr>
      <w:i/>
      <w:iCs/>
      <w:color w:val="0F4761" w:themeColor="accent1" w:themeShade="BF"/>
    </w:rPr>
  </w:style>
  <w:style w:type="paragraph" w:styleId="IntensivesZitat">
    <w:name w:val="Intense Quote"/>
    <w:basedOn w:val="Standard"/>
    <w:next w:val="Standard"/>
    <w:link w:val="IntensivesZitatZchn"/>
    <w:uiPriority w:val="30"/>
    <w:qFormat/>
    <w:rsid w:val="00081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1FF4"/>
    <w:rPr>
      <w:i/>
      <w:iCs/>
      <w:color w:val="0F4761" w:themeColor="accent1" w:themeShade="BF"/>
    </w:rPr>
  </w:style>
  <w:style w:type="character" w:styleId="IntensiverVerweis">
    <w:name w:val="Intense Reference"/>
    <w:basedOn w:val="Absatz-Standardschriftart"/>
    <w:uiPriority w:val="32"/>
    <w:qFormat/>
    <w:rsid w:val="00081FF4"/>
    <w:rPr>
      <w:b/>
      <w:bCs/>
      <w:smallCaps/>
      <w:color w:val="0F4761" w:themeColor="accent1" w:themeShade="BF"/>
      <w:spacing w:val="5"/>
    </w:rPr>
  </w:style>
  <w:style w:type="character" w:styleId="Hyperlink">
    <w:name w:val="Hyperlink"/>
    <w:basedOn w:val="Absatz-Standardschriftart"/>
    <w:uiPriority w:val="99"/>
    <w:unhideWhenUsed/>
    <w:rsid w:val="00081FF4"/>
    <w:rPr>
      <w:color w:val="467886" w:themeColor="hyperlink"/>
      <w:u w:val="single"/>
    </w:rPr>
  </w:style>
  <w:style w:type="character" w:styleId="NichtaufgelsteErwhnung">
    <w:name w:val="Unresolved Mention"/>
    <w:basedOn w:val="Absatz-Standardschriftart"/>
    <w:uiPriority w:val="99"/>
    <w:semiHidden/>
    <w:unhideWhenUsed/>
    <w:rsid w:val="00AE4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89852">
      <w:bodyDiv w:val="1"/>
      <w:marLeft w:val="0"/>
      <w:marRight w:val="0"/>
      <w:marTop w:val="0"/>
      <w:marBottom w:val="0"/>
      <w:divBdr>
        <w:top w:val="none" w:sz="0" w:space="0" w:color="auto"/>
        <w:left w:val="none" w:sz="0" w:space="0" w:color="auto"/>
        <w:bottom w:val="none" w:sz="0" w:space="0" w:color="auto"/>
        <w:right w:val="none" w:sz="0" w:space="0" w:color="auto"/>
      </w:divBdr>
    </w:div>
    <w:div w:id="735324310">
      <w:bodyDiv w:val="1"/>
      <w:marLeft w:val="0"/>
      <w:marRight w:val="0"/>
      <w:marTop w:val="0"/>
      <w:marBottom w:val="0"/>
      <w:divBdr>
        <w:top w:val="none" w:sz="0" w:space="0" w:color="auto"/>
        <w:left w:val="none" w:sz="0" w:space="0" w:color="auto"/>
        <w:bottom w:val="none" w:sz="0" w:space="0" w:color="auto"/>
        <w:right w:val="none" w:sz="0" w:space="0" w:color="auto"/>
      </w:divBdr>
    </w:div>
    <w:div w:id="846142328">
      <w:bodyDiv w:val="1"/>
      <w:marLeft w:val="0"/>
      <w:marRight w:val="0"/>
      <w:marTop w:val="0"/>
      <w:marBottom w:val="0"/>
      <w:divBdr>
        <w:top w:val="none" w:sz="0" w:space="0" w:color="auto"/>
        <w:left w:val="none" w:sz="0" w:space="0" w:color="auto"/>
        <w:bottom w:val="none" w:sz="0" w:space="0" w:color="auto"/>
        <w:right w:val="none" w:sz="0" w:space="0" w:color="auto"/>
      </w:divBdr>
    </w:div>
    <w:div w:id="989331767">
      <w:bodyDiv w:val="1"/>
      <w:marLeft w:val="0"/>
      <w:marRight w:val="0"/>
      <w:marTop w:val="0"/>
      <w:marBottom w:val="0"/>
      <w:divBdr>
        <w:top w:val="none" w:sz="0" w:space="0" w:color="auto"/>
        <w:left w:val="none" w:sz="0" w:space="0" w:color="auto"/>
        <w:bottom w:val="none" w:sz="0" w:space="0" w:color="auto"/>
        <w:right w:val="none" w:sz="0" w:space="0" w:color="auto"/>
      </w:divBdr>
    </w:div>
    <w:div w:id="1047411451">
      <w:bodyDiv w:val="1"/>
      <w:marLeft w:val="0"/>
      <w:marRight w:val="0"/>
      <w:marTop w:val="0"/>
      <w:marBottom w:val="0"/>
      <w:divBdr>
        <w:top w:val="none" w:sz="0" w:space="0" w:color="auto"/>
        <w:left w:val="none" w:sz="0" w:space="0" w:color="auto"/>
        <w:bottom w:val="none" w:sz="0" w:space="0" w:color="auto"/>
        <w:right w:val="none" w:sz="0" w:space="0" w:color="auto"/>
      </w:divBdr>
    </w:div>
    <w:div w:id="1367830221">
      <w:bodyDiv w:val="1"/>
      <w:marLeft w:val="0"/>
      <w:marRight w:val="0"/>
      <w:marTop w:val="0"/>
      <w:marBottom w:val="0"/>
      <w:divBdr>
        <w:top w:val="none" w:sz="0" w:space="0" w:color="auto"/>
        <w:left w:val="none" w:sz="0" w:space="0" w:color="auto"/>
        <w:bottom w:val="none" w:sz="0" w:space="0" w:color="auto"/>
        <w:right w:val="none" w:sz="0" w:space="0" w:color="auto"/>
      </w:divBdr>
    </w:div>
    <w:div w:id="1820154125">
      <w:bodyDiv w:val="1"/>
      <w:marLeft w:val="0"/>
      <w:marRight w:val="0"/>
      <w:marTop w:val="0"/>
      <w:marBottom w:val="0"/>
      <w:divBdr>
        <w:top w:val="none" w:sz="0" w:space="0" w:color="auto"/>
        <w:left w:val="none" w:sz="0" w:space="0" w:color="auto"/>
        <w:bottom w:val="none" w:sz="0" w:space="0" w:color="auto"/>
        <w:right w:val="none" w:sz="0" w:space="0" w:color="auto"/>
      </w:divBdr>
    </w:div>
    <w:div w:id="18635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medicine.berlinexchange.de/pub/4wdsmd0f/" TargetMode="External"/><Relationship Id="rId13" Type="http://schemas.openxmlformats.org/officeDocument/2006/relationships/hyperlink" Target="https://journal.medicine.berlinexchange.de/pub/4wdsmd0f/" TargetMode="External"/><Relationship Id="rId3" Type="http://schemas.openxmlformats.org/officeDocument/2006/relationships/styles" Target="styles.xml"/><Relationship Id="rId7" Type="http://schemas.openxmlformats.org/officeDocument/2006/relationships/hyperlink" Target="https://journal.medicine.berlinexchange.de/pub/4wdsmd0f/" TargetMode="External"/><Relationship Id="rId12" Type="http://schemas.openxmlformats.org/officeDocument/2006/relationships/hyperlink" Target="https://journal.medicine.berlinexchange.de/pub/4wdsmd0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56776/abbd964d.665f7de5" TargetMode="External"/><Relationship Id="rId11" Type="http://schemas.openxmlformats.org/officeDocument/2006/relationships/hyperlink" Target="https://journal.medicine.berlinexchange.de/pub/4wdsmd0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medicine.berlinexchange.de/pub/4wdsmd0f/" TargetMode="External"/><Relationship Id="rId4" Type="http://schemas.openxmlformats.org/officeDocument/2006/relationships/settings" Target="settings.xml"/><Relationship Id="rId9" Type="http://schemas.openxmlformats.org/officeDocument/2006/relationships/hyperlink" Target="https://journal.medicine.berlinexchange.de/pub/4wdsmd0f/" TargetMode="External"/><Relationship Id="rId14" Type="http://schemas.openxmlformats.org/officeDocument/2006/relationships/hyperlink" Target="https://journal.medicine.berlinexchange.de/pub/4wdsmd0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AB313-9AE0-40DD-8B3E-1B76C88C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5155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Steffen</dc:creator>
  <cp:keywords/>
  <dc:description/>
  <cp:lastModifiedBy>Schwerdtfeger, Steffen</cp:lastModifiedBy>
  <cp:revision>1</cp:revision>
  <dcterms:created xsi:type="dcterms:W3CDTF">2025-03-09T14:47:00Z</dcterms:created>
  <dcterms:modified xsi:type="dcterms:W3CDTF">2025-03-09T15:00:00Z</dcterms:modified>
</cp:coreProperties>
</file>