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Specification</w:t>
      </w:r>
    </w:p>
    <w:p>
      <w:pPr>
        <w:pStyle w:val="Heading1"/>
      </w:pPr>
      <w:r>
        <w:t>LinguaTech Solutions Email Management System</w:t>
      </w:r>
    </w:p>
    <w:p>
      <w:pPr>
        <w:spacing w:after="120"/>
      </w:pPr>
      <w:r/>
      <w:r>
        <w:rPr>
          <w:b/>
        </w:rPr>
        <w:t>Version:</w:t>
      </w:r>
      <w:r>
        <w:t xml:space="preserve"> Final course-project specification </w:t>
      </w:r>
      <w:r>
        <w:rPr>
          <w:b/>
        </w:rPr>
        <w:t>System type:</w:t>
      </w:r>
      <w:r>
        <w:t xml:space="preserve"> Multi-agent email management and business-process automation system </w:t>
      </w:r>
      <w:r>
        <w:rPr>
          <w:b/>
        </w:rPr>
        <w:t>Platform:</w:t>
      </w:r>
      <w:r>
        <w:t xml:space="preserve"> n8n</w:t>
      </w:r>
    </w:p>
    <w:p>
      <w:pPr>
        <w:pStyle w:val="Heading1"/>
      </w:pPr>
      <w:r>
        <w:t>1. Goal</w:t>
      </w:r>
    </w:p>
    <w:p>
      <w:pPr>
        <w:spacing w:after="120"/>
      </w:pPr>
      <w:r>
        <w:t xml:space="preserve">The goal of the </w:t>
      </w:r>
      <w:r>
        <w:rPr>
          <w:b/>
        </w:rPr>
        <w:t>LinguaTech Solutions Email Management System (EMS)</w:t>
      </w:r>
      <w:r>
        <w:t xml:space="preserve"> is to automate the initial processing, classification, enrichment, routing, and controlled handling of incoming business email while preserving human oversight for cases that require review.</w:t>
      </w:r>
    </w:p>
    <w:p>
      <w:pPr>
        <w:spacing w:after="120"/>
      </w:pPr>
      <w:r>
        <w:t>The system receives incoming Gmail messages, enriches them with available client-registry information, normalizes the data into a common structure, classifies each message, and routes it to the appropriate specialized workflow.</w:t>
      </w:r>
    </w:p>
    <w:p>
      <w:pPr>
        <w:spacing w:after="120"/>
      </w:pPr>
      <w:r>
        <w:t>The four primary business routes are:</w:t>
      </w:r>
    </w:p>
    <w:p>
      <w:pPr>
        <w:pStyle w:val="ListNumber"/>
      </w:pPr>
      <w:r/>
      <w:r>
        <w:rPr>
          <w:b/>
        </w:rPr>
        <w:t>Client Support &amp; Service Requests</w:t>
      </w:r>
      <w:r>
        <w:t xml:space="preserve"> -- customer questions, support</w:t>
      </w:r>
    </w:p>
    <w:p>
      <w:pPr>
        <w:spacing w:after="120"/>
      </w:pPr>
      <w:r>
        <w:t>requests, policies, and service-related issues.</w:t>
      </w:r>
    </w:p>
    <w:p>
      <w:pPr>
        <w:pStyle w:val="ListNumber"/>
      </w:pPr>
      <w:r/>
      <w:r>
        <w:rPr>
          <w:b/>
        </w:rPr>
        <w:t>Billing &amp; Payments</w:t>
      </w:r>
      <w:r>
        <w:t xml:space="preserve"> -- receipts, payments, invoices, and</w:t>
      </w:r>
    </w:p>
    <w:p>
      <w:pPr>
        <w:spacing w:after="120"/>
      </w:pPr>
      <w:r>
        <w:t>financial-document processing.</w:t>
      </w:r>
    </w:p>
    <w:p>
      <w:pPr>
        <w:pStyle w:val="ListNumber"/>
      </w:pPr>
      <w:r/>
      <w:r>
        <w:rPr>
          <w:b/>
        </w:rPr>
        <w:t>Projects &amp; Service Inquiries</w:t>
      </w:r>
      <w:r>
        <w:t xml:space="preserve"> -- sales opportunities, service</w:t>
      </w:r>
    </w:p>
    <w:p>
      <w:pPr>
        <w:spacing w:after="120"/>
      </w:pPr>
      <w:r>
        <w:t>inquiries, and potential custom projects.</w:t>
      </w:r>
    </w:p>
    <w:p>
      <w:pPr>
        <w:pStyle w:val="ListNumber"/>
      </w:pPr>
      <w:r/>
      <w:r>
        <w:rPr>
          <w:b/>
        </w:rPr>
        <w:t>Team &amp; Operations</w:t>
      </w:r>
      <w:r>
        <w:t xml:space="preserve"> -- internal communication from the</w:t>
      </w:r>
    </w:p>
    <w:p>
      <w:pPr>
        <w:spacing w:after="120"/>
      </w:pPr>
      <w:r>
        <w:t>organization.</w:t>
      </w:r>
    </w:p>
    <w:p>
      <w:pPr>
        <w:spacing w:after="120"/>
      </w:pPr>
      <w:r>
        <w:t xml:space="preserve">Messages that cannot be classified confidently are sent to a dedicated </w:t>
      </w:r>
      <w:r>
        <w:rPr>
          <w:b/>
        </w:rPr>
        <w:t>Other / fallback</w:t>
      </w:r>
      <w:r>
        <w:t xml:space="preserve"> path rather than being forced into an incorrect category. The system assists with business operations rather than making unrestricted autonomous decisions; higher-risk actions can require human review and approval.</w:t>
      </w:r>
    </w:p>
    <w:p>
      <w:pPr>
        <w:pStyle w:val="Heading1"/>
      </w:pPr>
      <w:r>
        <w:t>2. Scope and Agent Architecture</w:t>
      </w:r>
    </w:p>
    <w:p>
      <w:pPr>
        <w:pStyle w:val="Heading2"/>
      </w:pPr>
      <w:r>
        <w:t>2.1 Main Orchestration Workflow</w:t>
      </w:r>
    </w:p>
    <w:p>
      <w:pPr>
        <w:spacing w:after="120"/>
      </w:pPr>
      <w:r>
        <w:t xml:space="preserve">The Main Workflow receives incoming Gmail messages, applies anti-loop filtering, retrieves available information from the Clients registry, normalizes the input, classifies the message, and routes it to the appropriate specialized sub-workflow. Unclear messages follow the dedicated </w:t>
      </w:r>
      <w:r>
        <w:rPr>
          <w:b/>
        </w:rPr>
        <w:t>Other</w:t>
      </w:r>
      <w:r>
        <w:t xml:space="preserve"> path.</w:t>
      </w:r>
    </w:p>
    <w:p>
      <w:pPr>
        <w:pStyle w:val="Heading2"/>
      </w:pPr>
      <w:r>
        <w:t>2.2 Client Support Agent</w:t>
      </w:r>
    </w:p>
    <w:p>
      <w:pPr>
        <w:spacing w:after="120"/>
      </w:pPr>
      <w:r>
        <w:t xml:space="preserve">The Client Support workflow handles customer questions and service requests. It can use the </w:t>
      </w:r>
      <w:r>
        <w:rPr>
          <w:b/>
        </w:rPr>
        <w:t>FAQ/Policies knowledge base</w:t>
      </w:r>
      <w:r>
        <w:t>, client-registry context, structured output, sentiment analysis, Gmail draft creation, Telegram escalation, feedback logging, and system logging.</w:t>
      </w:r>
    </w:p>
    <w:p>
      <w:pPr>
        <w:pStyle w:val="Heading2"/>
      </w:pPr>
      <w:r>
        <w:t>2.3 Finance Agent</w:t>
      </w:r>
    </w:p>
    <w:p>
      <w:pPr>
        <w:spacing w:after="120"/>
      </w:pPr>
      <w:r>
        <w:t>The Billing &amp; Payments workflow handles financial email and determines the appropriate route, including customer receipts and vendor invoices. Invoice processing can retrieve attachments, process binary data, extract PDF content, extract structured invoice fields, archive documents, update financial records, send notifications, and log execution.</w:t>
      </w:r>
    </w:p>
    <w:p>
      <w:pPr>
        <w:pStyle w:val="Heading2"/>
      </w:pPr>
      <w:r>
        <w:t>2.4 Leads Agent</w:t>
      </w:r>
    </w:p>
    <w:p>
      <w:pPr>
        <w:spacing w:after="120"/>
      </w:pPr>
      <w:r>
        <w:t xml:space="preserve">The Projects &amp; Service Inquiries workflow handles sales opportunities and inquiries about LinguaTech Solutions services. It uses the </w:t>
      </w:r>
      <w:r>
        <w:rPr>
          <w:b/>
        </w:rPr>
        <w:t>Services/Sales knowledge base</w:t>
      </w:r>
      <w:r>
        <w:t>, produces structured responses, determines whether escalation or review is required, and prepares drafts for cases that can proceed safely.</w:t>
      </w:r>
    </w:p>
    <w:p>
      <w:pPr>
        <w:pStyle w:val="Heading2"/>
      </w:pPr>
      <w:r>
        <w:t>2.5 Review Agent and Human Approval</w:t>
      </w:r>
    </w:p>
    <w:p>
      <w:pPr>
        <w:spacing w:after="120"/>
      </w:pPr>
      <w:r>
        <w:t>When review is required, the system prepares the proposed action, sends the case for human approval, waits for the reviewer decision, and continues only through the path permitted by that decision. Human approval therefore acts as a control boundary between AI-generated recommendations and selected external actions.</w:t>
      </w:r>
    </w:p>
    <w:p>
      <w:pPr>
        <w:pStyle w:val="Heading2"/>
      </w:pPr>
      <w:r>
        <w:t>2.6 Internal Agent</w:t>
      </w:r>
    </w:p>
    <w:p>
      <w:pPr>
        <w:spacing w:after="120"/>
      </w:pPr>
      <w:r>
        <w:t>The Team &amp; Operations workflow handles internal organizational communication. It produces structured summaries, applies the appropriate internal handling, sends relevant information through Telegram, and records the action in the system log.</w:t>
      </w:r>
    </w:p>
    <w:p>
      <w:pPr>
        <w:pStyle w:val="Heading1"/>
      </w:pPr>
      <w:r>
        <w:t>3. Constraints and Safety Rules</w:t>
      </w:r>
    </w:p>
    <w:p>
      <w:pPr>
        <w:spacing w:after="120"/>
      </w:pPr>
      <w:r>
        <w:t>Agents must remain within their assigned business scope, use tools only for their intended purpose, distinguish known information from uncertainty, avoid inventing company policies, services, prices, client history, or financial facts, and escalate or stop when required information or authority is unavailable.</w:t>
      </w:r>
    </w:p>
    <w:p>
      <w:pPr>
        <w:pStyle w:val="Heading2"/>
      </w:pPr>
      <w:r>
        <w:t>3.1 Internal Client Data</w:t>
      </w:r>
    </w:p>
    <w:p>
      <w:pPr>
        <w:spacing w:after="120"/>
      </w:pPr>
      <w:r>
        <w:t xml:space="preserve">Information retrieved from the Clients registry is </w:t>
      </w:r>
      <w:r>
        <w:rPr>
          <w:b/>
        </w:rPr>
        <w:t>internal context</w:t>
      </w:r>
      <w:r>
        <w:t>. Appropriate client information may be used to understand and personalize a response, but internal notes must not be quoted to customers, the system must not claim to maintain a private dossier, and missing registry data must not be replaced with invented history.</w:t>
      </w:r>
    </w:p>
    <w:p>
      <w:pPr>
        <w:pStyle w:val="Heading2"/>
      </w:pPr>
      <w:r>
        <w:t>3.2 Knowledge-Base Boundaries</w:t>
      </w:r>
    </w:p>
    <w:p>
      <w:pPr>
        <w:spacing w:after="120"/>
      </w:pPr>
      <w:r>
        <w:t>The FAQ/Policies knowledge base is the authoritative source for supported customer-policy questions. The Services/Sales knowledge base is used for defined company services. Agents must not fabricate unsupported company-specific information when the relevant knowledge base does not contain the answer.</w:t>
      </w:r>
    </w:p>
    <w:p>
      <w:pPr>
        <w:pStyle w:val="Heading2"/>
      </w:pPr>
      <w:r>
        <w:t>3.3 Prompt-Injection Protection</w:t>
      </w:r>
    </w:p>
    <w:p>
      <w:pPr>
        <w:spacing w:after="120"/>
      </w:pPr>
      <w:r>
        <w:t xml:space="preserve">Incoming email content is treated as </w:t>
      </w:r>
      <w:r>
        <w:rPr>
          <w:b/>
        </w:rPr>
        <w:t>untrusted user data</w:t>
      </w:r>
      <w:r>
        <w:t>, not as system-level instruction. Instructions embedded in an email cannot override the system prompt, agent policies, confidentiality requirements, tool restrictions, approval requirements, or business-process rules. Requests to reveal system prompts, internal notes, hidden instructions, credentials, or private context must not supersede this specification.</w:t>
      </w:r>
    </w:p>
    <w:p>
      <w:pPr>
        <w:pStyle w:val="Heading2"/>
      </w:pPr>
      <w:r>
        <w:t>3.4 Anti-Loop Protection</w:t>
      </w:r>
    </w:p>
    <w:p>
      <w:pPr>
        <w:spacing w:after="120"/>
      </w:pPr>
      <w:r>
        <w:t>The Gmail intake logic excludes workflow-generated messages where applicable, including messages identifiable through the configured agent subject convention, reducing the risk of the system processing its own output repeatedly.</w:t>
      </w:r>
    </w:p>
    <w:p>
      <w:pPr>
        <w:pStyle w:val="Heading1"/>
      </w:pPr>
      <w:r>
        <w:t>4. Tools</w:t>
      </w:r>
    </w:p>
    <w:p>
      <w:pPr>
        <w:pStyle w:val="ListBullet"/>
      </w:pPr>
      <w:r>
        <w:t xml:space="preserve">  </w:t>
      </w:r>
      <w:r>
        <w:rPr>
          <w:b/>
        </w:rPr>
        <w:t>Gmail</w:t>
      </w:r>
      <w:r>
        <w:t xml:space="preserve"> -- receiving and retrieving messages, accessing</w:t>
      </w:r>
    </w:p>
    <w:p>
      <w:pPr>
        <w:spacing w:after="120"/>
      </w:pPr>
      <w:r>
        <w:t>attachments, creating drafts, sending authorized messages, and applying labels.</w:t>
      </w:r>
    </w:p>
    <w:p>
      <w:pPr>
        <w:pStyle w:val="ListBullet"/>
      </w:pPr>
      <w:r>
        <w:t xml:space="preserve">  </w:t>
      </w:r>
      <w:r>
        <w:rPr>
          <w:b/>
        </w:rPr>
        <w:t>Google Sheets</w:t>
      </w:r>
      <w:r>
        <w:t xml:space="preserve"> -- Clients registry, invoice/financial records,</w:t>
      </w:r>
    </w:p>
    <w:p>
      <w:pPr>
        <w:spacing w:after="120"/>
      </w:pPr>
      <w:r>
        <w:t>feedback records, and operational logs.</w:t>
      </w:r>
    </w:p>
    <w:p>
      <w:pPr>
        <w:pStyle w:val="ListBullet"/>
      </w:pPr>
      <w:r>
        <w:t xml:space="preserve">  </w:t>
      </w:r>
      <w:r>
        <w:rPr>
          <w:b/>
        </w:rPr>
        <w:t>Google Drive</w:t>
      </w:r>
      <w:r>
        <w:t xml:space="preserve"> -- archiving invoice documents and other authorized</w:t>
      </w:r>
    </w:p>
    <w:p>
      <w:pPr>
        <w:spacing w:after="120"/>
      </w:pPr>
      <w:r>
        <w:t>files.</w:t>
      </w:r>
    </w:p>
    <w:p>
      <w:pPr>
        <w:pStyle w:val="ListBullet"/>
      </w:pPr>
      <w:r>
        <w:t xml:space="preserve">  </w:t>
      </w:r>
      <w:r>
        <w:rPr>
          <w:b/>
        </w:rPr>
        <w:t>FAQ/Policies Knowledge Base</w:t>
      </w:r>
      <w:r>
        <w:t xml:space="preserve"> -- authoritative retrieval for</w:t>
      </w:r>
    </w:p>
    <w:p>
      <w:pPr>
        <w:spacing w:after="120"/>
      </w:pPr>
      <w:r>
        <w:t>Client Support.</w:t>
      </w:r>
    </w:p>
    <w:p>
      <w:pPr>
        <w:pStyle w:val="ListBullet"/>
      </w:pPr>
      <w:r>
        <w:t xml:space="preserve">  </w:t>
      </w:r>
      <w:r>
        <w:rPr>
          <w:b/>
        </w:rPr>
        <w:t>Services/Sales Knowledge Base</w:t>
      </w:r>
      <w:r>
        <w:t xml:space="preserve"> -- service and offering retrieval</w:t>
      </w:r>
    </w:p>
    <w:p>
      <w:pPr>
        <w:spacing w:after="120"/>
      </w:pPr>
      <w:r>
        <w:t>for Leads.</w:t>
      </w:r>
    </w:p>
    <w:p>
      <w:pPr>
        <w:pStyle w:val="ListBullet"/>
      </w:pPr>
      <w:r>
        <w:t xml:space="preserve">  </w:t>
      </w:r>
      <w:r>
        <w:rPr>
          <w:b/>
        </w:rPr>
        <w:t>Vector retrieval / embeddings</w:t>
      </w:r>
      <w:r>
        <w:t xml:space="preserve"> -- semantic retrieval from the</w:t>
      </w:r>
    </w:p>
    <w:p>
      <w:pPr>
        <w:spacing w:after="120"/>
      </w:pPr>
      <w:r>
        <w:t>relevant knowledge bases.</w:t>
      </w:r>
    </w:p>
    <w:p>
      <w:pPr>
        <w:pStyle w:val="ListBullet"/>
      </w:pPr>
      <w:r>
        <w:t xml:space="preserve">  </w:t>
      </w:r>
      <w:r>
        <w:rPr>
          <w:b/>
        </w:rPr>
        <w:t>Memory</w:t>
      </w:r>
      <w:r>
        <w:t xml:space="preserve"> -- preserving appropriate thread/session context where</w:t>
      </w:r>
    </w:p>
    <w:p>
      <w:pPr>
        <w:spacing w:after="120"/>
      </w:pPr>
      <w:r>
        <w:t>configured.</w:t>
      </w:r>
    </w:p>
    <w:p>
      <w:pPr>
        <w:pStyle w:val="ListBullet"/>
      </w:pPr>
      <w:r>
        <w:t xml:space="preserve">  </w:t>
      </w:r>
      <w:r>
        <w:rPr>
          <w:b/>
        </w:rPr>
        <w:t>Structured Output Parsers</w:t>
      </w:r>
      <w:r>
        <w:t xml:space="preserve"> -- constraining AI output to fields</w:t>
      </w:r>
    </w:p>
    <w:p>
      <w:pPr>
        <w:spacing w:after="120"/>
      </w:pPr>
      <w:r>
        <w:t>expected by downstream nodes.</w:t>
      </w:r>
    </w:p>
    <w:p>
      <w:pPr>
        <w:pStyle w:val="ListBullet"/>
      </w:pPr>
      <w:r>
        <w:t xml:space="preserve">  </w:t>
      </w:r>
      <w:r>
        <w:rPr>
          <w:b/>
        </w:rPr>
        <w:t>PDF/File Extraction</w:t>
      </w:r>
      <w:r>
        <w:t xml:space="preserve"> -- extracting content from Finance</w:t>
      </w:r>
    </w:p>
    <w:p>
      <w:pPr>
        <w:spacing w:after="120"/>
      </w:pPr>
      <w:r>
        <w:t>attachments.</w:t>
      </w:r>
    </w:p>
    <w:p>
      <w:pPr>
        <w:pStyle w:val="ListBullet"/>
      </w:pPr>
      <w:r>
        <w:t xml:space="preserve">  </w:t>
      </w:r>
      <w:r>
        <w:rPr>
          <w:b/>
        </w:rPr>
        <w:t>Information Extractor</w:t>
      </w:r>
      <w:r>
        <w:t xml:space="preserve"> -- producing structured fields such as</w:t>
      </w:r>
    </w:p>
    <w:p>
      <w:pPr>
        <w:spacing w:after="120"/>
      </w:pPr>
      <w:r>
        <w:t>Vendor, Amount, Currency, VAT, and Invoice Number.</w:t>
      </w:r>
    </w:p>
    <w:p>
      <w:pPr>
        <w:pStyle w:val="ListBullet"/>
      </w:pPr>
      <w:r>
        <w:t xml:space="preserve">  </w:t>
      </w:r>
      <w:r>
        <w:rPr>
          <w:b/>
        </w:rPr>
        <w:t>Telegram</w:t>
      </w:r>
      <w:r>
        <w:t xml:space="preserve"> -- operational notifications, escalations, internal</w:t>
      </w:r>
    </w:p>
    <w:p>
      <w:pPr>
        <w:spacing w:after="120"/>
      </w:pPr>
      <w:r>
        <w:t>summaries, and review-related communication.</w:t>
      </w:r>
    </w:p>
    <w:p>
      <w:pPr>
        <w:pStyle w:val="ListBullet"/>
      </w:pPr>
      <w:r>
        <w:t xml:space="preserve">  </w:t>
      </w:r>
      <w:r>
        <w:rPr>
          <w:b/>
        </w:rPr>
        <w:t>Code nodes</w:t>
      </w:r>
      <w:r>
        <w:t xml:space="preserve"> -- deterministic transformations, binary-data</w:t>
      </w:r>
    </w:p>
    <w:p>
      <w:pPr>
        <w:spacing w:after="120"/>
      </w:pPr>
      <w:r>
        <w:t>preparation, normalization, and logging preparation.</w:t>
      </w:r>
    </w:p>
    <w:p>
      <w:pPr>
        <w:pStyle w:val="Heading1"/>
      </w:pPr>
      <w:r>
        <w:t>5. Data</w:t>
      </w:r>
    </w:p>
    <w:p>
      <w:pPr>
        <w:pStyle w:val="Heading2"/>
      </w:pPr>
      <w:r>
        <w:t>5.1 Standardized Email Payload</w:t>
      </w:r>
    </w:p>
    <w:p>
      <w:pPr>
        <w:spacing w:before="60" w:after="120"/>
        <w:ind w:left="360"/>
      </w:pPr>
      <w:r>
        <w:rPr>
          <w:rFonts w:ascii="Consolas" w:hAnsi="Consolas" w:eastAsia="Consolas"/>
          <w:sz w:val="18"/>
        </w:rPr>
        <w:t>{</w:t>
        <w:br/>
        <w:t xml:space="preserve">  "messageId": null,</w:t>
        <w:br/>
        <w:t xml:space="preserve">  "threadId": null,</w:t>
        <w:br/>
        <w:t xml:space="preserve">  "senderName": null,</w:t>
        <w:br/>
        <w:t xml:space="preserve">  "senderEmail": null,</w:t>
        <w:br/>
        <w:t xml:space="preserve">  "subject": null,</w:t>
        <w:br/>
        <w:t xml:space="preserve">  "emailBody": null,</w:t>
        <w:br/>
        <w:t xml:space="preserve">  "existingClient": null,</w:t>
        <w:br/>
        <w:t xml:space="preserve">  "clientName": null,</w:t>
        <w:br/>
        <w:t xml:space="preserve">  "company": null,</w:t>
        <w:br/>
        <w:t xml:space="preserve">  "clientSince": null,</w:t>
        <w:br/>
        <w:t xml:space="preserve">  "plan": null,</w:t>
        <w:br/>
        <w:t xml:space="preserve">  "lastOrder": null,</w:t>
        <w:br/>
        <w:t xml:space="preserve">  "notes": null</w:t>
        <w:br/>
        <w:t>}</w:t>
      </w:r>
    </w:p>
    <w:p>
      <w:pPr>
        <w:spacing w:after="120"/>
      </w:pPr>
      <w:r>
        <w:t>This common structure gives the specialized workflows a predictable interface.</w:t>
      </w:r>
    </w:p>
    <w:p>
      <w:pPr>
        <w:pStyle w:val="Heading2"/>
      </w:pPr>
      <w:r>
        <w:t>5.2 Data Sources and Handling</w:t>
      </w:r>
    </w:p>
    <w:p>
      <w:pPr>
        <w:spacing w:after="120"/>
      </w:pPr>
      <w:r>
        <w:t>The system may use incoming email metadata and body, attachments, client-registry records, FAQ/Policies knowledge, Services/Sales knowledge, extracted invoice data, workflow metadata, and structured agent outputs. Only the data necessary for the current task should be used; internal information remains internal unless explicitly appropriate for the business action, and empty fields are valid states rather than automatic errors.</w:t>
      </w:r>
    </w:p>
    <w:p>
      <w:pPr>
        <w:pStyle w:val="Heading1"/>
      </w:pPr>
      <w:r>
        <w:t>6. Decision, Routing, and Escalation Rules</w:t>
      </w:r>
    </w:p>
    <w:p>
      <w:pPr>
        <w:pStyle w:val="Heading2"/>
      </w:pPr>
      <w:r>
        <w:t>6.1 Main Classification</w:t>
      </w:r>
    </w:p>
    <w:p>
      <w:pPr>
        <w:spacing w:after="120"/>
      </w:pPr>
      <w:r>
        <w:t xml:space="preserve">Each normalized email is routed to </w:t>
      </w:r>
      <w:r>
        <w:rPr>
          <w:b/>
        </w:rPr>
        <w:t>Client Support &amp; Service Requests</w:t>
      </w:r>
      <w:r>
        <w:t xml:space="preserve">, </w:t>
      </w:r>
      <w:r>
        <w:rPr>
          <w:b/>
        </w:rPr>
        <w:t>Billing &amp; Payments</w:t>
      </w:r>
      <w:r>
        <w:t xml:space="preserve">, </w:t>
      </w:r>
      <w:r>
        <w:rPr>
          <w:b/>
        </w:rPr>
        <w:t>Projects &amp; Service Inquiries</w:t>
      </w:r>
      <w:r>
        <w:t xml:space="preserve">, </w:t>
      </w:r>
      <w:r>
        <w:rPr>
          <w:b/>
        </w:rPr>
        <w:t>Team &amp; Operations</w:t>
      </w:r>
      <w:r>
        <w:t xml:space="preserve">, or </w:t>
      </w:r>
      <w:r>
        <w:rPr>
          <w:b/>
        </w:rPr>
        <w:t>Other</w:t>
      </w:r>
      <w:r>
        <w:t>. If no category is sufficiently clear, the message follows the Other branch.</w:t>
      </w:r>
    </w:p>
    <w:p>
      <w:pPr>
        <w:pStyle w:val="Heading2"/>
      </w:pPr>
      <w:r>
        <w:t>6.2 Support</w:t>
      </w:r>
    </w:p>
    <w:p>
      <w:pPr>
        <w:spacing w:after="120"/>
      </w:pPr>
      <w:r>
        <w:t>Support behavior may depend on knowledge-base availability, client context, structured agent output, and sentiment. Negative sentiment or configured escalation conditions can trigger Telegram notification.</w:t>
      </w:r>
    </w:p>
    <w:p>
      <w:pPr>
        <w:pStyle w:val="Heading2"/>
      </w:pPr>
      <w:r>
        <w:t>6.3 Finance</w:t>
      </w:r>
    </w:p>
    <w:p>
      <w:pPr>
        <w:spacing w:after="120"/>
      </w:pPr>
      <w:r>
        <w:t>The Finance Agent selects the appropriate financial processing route. Invoice-processing actions proceed only when the required document and data are available; missing or invalid attachments follow configured fallback/error semantics rather than producing fabricated invoice data.</w:t>
      </w:r>
    </w:p>
    <w:p>
      <w:pPr>
        <w:pStyle w:val="Heading2"/>
      </w:pPr>
      <w:r>
        <w:t>6.4 Leads and Human Review</w:t>
      </w:r>
    </w:p>
    <w:p>
      <w:pPr>
        <w:spacing w:after="120"/>
      </w:pPr>
      <w:r>
        <w:t>The Leads Agent determines whether an inquiry can proceed through the normal draft path or requires escalation/review. When review is required, the AI recommendation is not final authorization: the workflow waits for the human decision and downstream action follows the approved or rejected path.</w:t>
      </w:r>
    </w:p>
    <w:p>
      <w:pPr>
        <w:pStyle w:val="Heading1"/>
      </w:pPr>
      <w:r>
        <w:t>7. Service-Level Objectives (SLO)</w:t>
      </w:r>
    </w:p>
    <w:p>
      <w:pPr>
        <w:pStyle w:val="ListBullet"/>
      </w:pPr>
      <w:r>
        <w:t xml:space="preserve">  </w:t>
      </w:r>
      <w:r>
        <w:rPr>
          <w:b/>
        </w:rPr>
        <w:t>Routing reliability:</w:t>
      </w:r>
      <w:r>
        <w:t xml:space="preserve"> every accepted incoming message has a</w:t>
      </w:r>
    </w:p>
    <w:p>
      <w:pPr>
        <w:spacing w:after="120"/>
      </w:pPr>
      <w:r>
        <w:t>defined path, including unclear messages.</w:t>
      </w:r>
    </w:p>
    <w:p>
      <w:pPr>
        <w:pStyle w:val="ListBullet"/>
      </w:pPr>
      <w:r>
        <w:t xml:space="preserve">  </w:t>
      </w:r>
      <w:r>
        <w:rPr>
          <w:b/>
        </w:rPr>
        <w:t>Structured interoperability:</w:t>
      </w:r>
      <w:r>
        <w:t xml:space="preserve"> sub-workflows receive the</w:t>
      </w:r>
    </w:p>
    <w:p>
      <w:pPr>
        <w:spacing w:after="120"/>
      </w:pPr>
      <w:r>
        <w:t>standardized input and return outputs compatible with downstream nodes.</w:t>
      </w:r>
    </w:p>
    <w:p>
      <w:pPr>
        <w:pStyle w:val="ListBullet"/>
      </w:pPr>
      <w:r>
        <w:t xml:space="preserve">  </w:t>
      </w:r>
      <w:r>
        <w:rPr>
          <w:b/>
        </w:rPr>
        <w:t>Grounded knowledge use:</w:t>
      </w:r>
      <w:r>
        <w:t xml:space="preserve"> company FAQ, policy, and service claims</w:t>
      </w:r>
    </w:p>
    <w:p>
      <w:pPr>
        <w:spacing w:after="120"/>
      </w:pPr>
      <w:r>
        <w:t>use the relevant knowledge base rather than unsupported model knowledge.</w:t>
      </w:r>
    </w:p>
    <w:p>
      <w:pPr>
        <w:pStyle w:val="ListBullet"/>
      </w:pPr>
      <w:r>
        <w:t xml:space="preserve">  </w:t>
      </w:r>
      <w:r>
        <w:rPr>
          <w:b/>
        </w:rPr>
        <w:t>Controlled automation:</w:t>
      </w:r>
      <w:r>
        <w:t xml:space="preserve"> actions requiring review do not bypass</w:t>
      </w:r>
    </w:p>
    <w:p>
      <w:pPr>
        <w:spacing w:after="120"/>
      </w:pPr>
      <w:r>
        <w:t>the approval gate.</w:t>
      </w:r>
    </w:p>
    <w:p>
      <w:pPr>
        <w:pStyle w:val="ListBullet"/>
      </w:pPr>
      <w:r>
        <w:t xml:space="preserve">  </w:t>
      </w:r>
      <w:r>
        <w:rPr>
          <w:b/>
        </w:rPr>
        <w:t>Data protection:</w:t>
      </w:r>
      <w:r>
        <w:t xml:space="preserve"> internal notes and restricted context are not</w:t>
      </w:r>
    </w:p>
    <w:p>
      <w:pPr>
        <w:spacing w:after="120"/>
      </w:pPr>
      <w:r>
        <w:t>exposed in customer-facing responses.</w:t>
      </w:r>
    </w:p>
    <w:p>
      <w:pPr>
        <w:pStyle w:val="ListBullet"/>
      </w:pPr>
      <w:r>
        <w:t xml:space="preserve">  </w:t>
      </w:r>
      <w:r>
        <w:rPr>
          <w:b/>
        </w:rPr>
        <w:t>Failure transparency:</w:t>
      </w:r>
      <w:r>
        <w:t xml:space="preserve"> tool failures, missing data, unsupported</w:t>
      </w:r>
    </w:p>
    <w:p>
      <w:pPr>
        <w:spacing w:after="120"/>
      </w:pPr>
      <w:r>
        <w:t>requests, and uncertainty produce fallback, escalation, or stop behavior rather than fabricated success.</w:t>
      </w:r>
    </w:p>
    <w:p>
      <w:pPr>
        <w:pStyle w:val="ListBullet"/>
      </w:pPr>
      <w:r>
        <w:t xml:space="preserve">  </w:t>
      </w:r>
      <w:r>
        <w:rPr>
          <w:b/>
        </w:rPr>
        <w:t>Observability:</w:t>
      </w:r>
      <w:r>
        <w:t xml:space="preserve"> important agent actions produce sufficient</w:t>
      </w:r>
    </w:p>
    <w:p>
      <w:pPr>
        <w:spacing w:after="120"/>
      </w:pPr>
      <w:r>
        <w:t>logging information for tracing and evaluation.</w:t>
      </w:r>
    </w:p>
    <w:p>
      <w:pPr>
        <w:pStyle w:val="ListBullet"/>
      </w:pPr>
      <w:r>
        <w:t xml:space="preserve">  </w:t>
      </w:r>
      <w:r>
        <w:rPr>
          <w:b/>
        </w:rPr>
        <w:t>Safety:</w:t>
      </w:r>
      <w:r>
        <w:t xml:space="preserve"> prompt injection inside incoming content cannot override</w:t>
      </w:r>
    </w:p>
    <w:p>
      <w:pPr>
        <w:spacing w:after="120"/>
      </w:pPr>
      <w:r>
        <w:t>system rules, confidentiality constraints, or approval requirements.</w:t>
      </w:r>
    </w:p>
    <w:p>
      <w:pPr>
        <w:pStyle w:val="Heading1"/>
      </w:pPr>
      <w:r>
        <w:t>8. Stop Conditions</w:t>
      </w:r>
    </w:p>
    <w:p>
      <w:pPr>
        <w:spacing w:after="120"/>
      </w:pPr>
      <w:r>
        <w:t>An agent or automated path must stop, defer, or escalate when:</w:t>
      </w:r>
    </w:p>
    <w:p>
      <w:pPr>
        <w:pStyle w:val="ListBullet"/>
      </w:pPr>
      <w:r>
        <w:t xml:space="preserve">  the request is outside the agent's defined scope;</w:t>
      </w:r>
    </w:p>
    <w:p>
      <w:pPr>
        <w:pStyle w:val="ListBullet"/>
      </w:pPr>
      <w:r>
        <w:t xml:space="preserve">  required information is missing and cannot be retrieved safely;</w:t>
      </w:r>
    </w:p>
    <w:p>
      <w:pPr>
        <w:pStyle w:val="ListBullet"/>
      </w:pPr>
      <w:r>
        <w:t xml:space="preserve">  the relevant knowledge base does not support a required</w:t>
      </w:r>
    </w:p>
    <w:p>
      <w:pPr>
        <w:spacing w:after="120"/>
      </w:pPr>
      <w:r>
        <w:t>company-specific answer;</w:t>
      </w:r>
    </w:p>
    <w:p>
      <w:pPr>
        <w:pStyle w:val="ListBullet"/>
      </w:pPr>
      <w:r>
        <w:t xml:space="preserve">  the requested action exceeds the agent's authority;</w:t>
      </w:r>
    </w:p>
    <w:p>
      <w:pPr>
        <w:pStyle w:val="ListBullet"/>
      </w:pPr>
      <w:r>
        <w:t xml:space="preserve">  human approval is required but has not been granted;</w:t>
      </w:r>
    </w:p>
    <w:p>
      <w:pPr>
        <w:pStyle w:val="ListBullet"/>
      </w:pPr>
      <w:r>
        <w:t xml:space="preserve">  the reviewer rejects the proposed action;</w:t>
      </w:r>
    </w:p>
    <w:p>
      <w:pPr>
        <w:pStyle w:val="ListBullet"/>
      </w:pPr>
      <w:r>
        <w:t xml:space="preserve">  a required tool fails;</w:t>
      </w:r>
    </w:p>
    <w:p>
      <w:pPr>
        <w:pStyle w:val="ListBullet"/>
      </w:pPr>
      <w:r>
        <w:t xml:space="preserve">  a required attachment is missing, unreadable, or invalid;</w:t>
      </w:r>
    </w:p>
    <w:p>
      <w:pPr>
        <w:pStyle w:val="ListBullet"/>
      </w:pPr>
      <w:r>
        <w:t xml:space="preserve">  structured output cannot be produced reliably;</w:t>
      </w:r>
    </w:p>
    <w:p>
      <w:pPr>
        <w:pStyle w:val="ListBullet"/>
      </w:pPr>
      <w:r>
        <w:t xml:space="preserve">  the message contains prompt-injection instructions attempting to</w:t>
      </w:r>
    </w:p>
    <w:p>
      <w:pPr>
        <w:spacing w:after="120"/>
      </w:pPr>
      <w:r>
        <w:t>override system rules;</w:t>
      </w:r>
    </w:p>
    <w:p>
      <w:pPr>
        <w:pStyle w:val="ListBullet"/>
      </w:pPr>
      <w:r>
        <w:t xml:space="preserve">  the request attempts to expose internal notes, system prompts,</w:t>
      </w:r>
    </w:p>
    <w:p>
      <w:pPr>
        <w:spacing w:after="120"/>
      </w:pPr>
      <w:r>
        <w:t>hidden instructions, credentials, or restricted information;</w:t>
      </w:r>
    </w:p>
    <w:p>
      <w:pPr>
        <w:pStyle w:val="ListBullet"/>
      </w:pPr>
      <w:r>
        <w:t xml:space="preserve">  classification is unclear, in which case the message follows the</w:t>
      </w:r>
    </w:p>
    <w:p>
      <w:pPr>
        <w:spacing w:after="120"/>
      </w:pPr>
      <w:r>
        <w:t>Other/fallback path;</w:t>
      </w:r>
    </w:p>
    <w:p>
      <w:pPr>
        <w:pStyle w:val="ListBullet"/>
      </w:pPr>
      <w:r>
        <w:t xml:space="preserve">  continuing automatically would require invented facts or an</w:t>
      </w:r>
    </w:p>
    <w:p>
      <w:pPr>
        <w:spacing w:after="120"/>
      </w:pPr>
      <w:r>
        <w:t>unsupported business commitment.</w:t>
      </w:r>
    </w:p>
    <w:p>
      <w:pPr>
        <w:spacing w:after="120"/>
      </w:pPr>
      <w:r>
        <w:t>A stop condition is a valid system outcome. The system is not required to force every message into an automated external action.</w:t>
      </w:r>
    </w:p>
    <w:p>
      <w:pPr>
        <w:pStyle w:val="Heading1"/>
      </w:pPr>
      <w:r>
        <w:t>9. Observability and Evaluation</w:t>
      </w:r>
    </w:p>
    <w:p>
      <w:pPr>
        <w:pStyle w:val="Heading2"/>
      </w:pPr>
      <w:r>
        <w:t>9.1 Feedback and System Logging</w:t>
      </w:r>
    </w:p>
    <w:p>
      <w:pPr>
        <w:spacing w:after="120"/>
      </w:pPr>
      <w:r>
        <w:t>Relevant workflows record structured information about processed interactions, including source, knowledge use, routing or agent result, and operational outcome where configured. System Log nodes support traceability, debugging, workflow verification, and evaluation.</w:t>
      </w:r>
    </w:p>
    <w:p>
      <w:pPr>
        <w:pStyle w:val="Heading2"/>
      </w:pPr>
      <w:r>
        <w:t>9.2 Golden Dataset</w:t>
      </w:r>
    </w:p>
    <w:p>
      <w:pPr>
        <w:spacing w:after="120"/>
      </w:pPr>
      <w:r>
        <w:t>A Golden Dataset provides repeatable tests across business categories and edge cases. It is used to verify classification, routing, structured outputs, knowledge-base behavior, fallback behavior, escalation, and safety.</w:t>
      </w:r>
    </w:p>
    <w:p>
      <w:pPr>
        <w:pStyle w:val="Heading2"/>
      </w:pPr>
      <w:r>
        <w:t>9.3 Safety and Human-in-the-Loop Evaluation</w:t>
      </w:r>
    </w:p>
    <w:p>
      <w:pPr>
        <w:spacing w:after="120"/>
      </w:pPr>
      <w:r>
        <w:t>Normal and adversarial inputs are used to verify that prompt-injection attempts cannot override higher-level constraints. Approval-gate testing verifies that selected actions do not proceed automatically when human review is required and that execution continues correctly after the reviewer decision.</w:t>
      </w:r>
    </w:p>
    <w:p>
      <w:pPr>
        <w:pStyle w:val="Heading1"/>
      </w:pPr>
      <w:r>
        <w:t>10. Expected System Outcome</w:t>
      </w:r>
    </w:p>
    <w:p>
      <w:pPr>
        <w:spacing w:after="120"/>
      </w:pPr>
      <w:r>
        <w:t>The final processing pattern is:</w:t>
      </w:r>
    </w:p>
    <w:p>
      <w:pPr>
        <w:spacing w:after="120"/>
      </w:pPr>
      <w:r/>
      <w:r>
        <w:rPr>
          <w:b/>
        </w:rPr>
        <w:t>incoming email → client enrichment → standardized input → classification → specialized agent → knowledge/tool use → safety/review decision → authorized action → logging</w:t>
      </w:r>
      <w:r/>
    </w:p>
    <w:p>
      <w:pPr>
        <w:spacing w:after="120"/>
      </w:pPr>
      <w:r>
        <w:t xml:space="preserve">The architecture combines AI-based interpretation with deterministic workflow logic, retrieval-based company knowledge, explicit fallback paths, human oversight, and operational logging. Its central principle is </w:t>
      </w:r>
      <w:r>
        <w:rPr>
          <w:b/>
        </w:rPr>
        <w:t>controlled automation</w:t>
      </w:r>
      <w:r>
        <w:t>: routine processing is automated where information and authority are sufficient, while uncertainty, unsupported requests, sensitive data, tool failures, and higher-risk actions are routed to fallback, escalation, or human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