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919A7" w14:textId="77777777" w:rsidR="006669C2" w:rsidRDefault="00C04929">
      <w:pPr>
        <w:pStyle w:val="Title"/>
        <w:spacing w:after="20"/>
      </w:pPr>
      <w:r>
        <w:rPr>
          <w:rFonts w:ascii="Arial" w:hAnsi="Arial"/>
          <w:b/>
          <w:color w:val="000000"/>
          <w:sz w:val="34"/>
        </w:rPr>
        <w:t>Part I  How Bias Changes Inference</w:t>
      </w:r>
    </w:p>
    <w:p w14:paraId="41C9CE9F" w14:textId="47C31A58" w:rsidR="006669C2" w:rsidRDefault="00C04929">
      <w:pPr>
        <w:spacing w:after="80"/>
      </w:pPr>
      <w:r>
        <w:rPr>
          <w:color w:val="464646"/>
          <w:sz w:val="17"/>
        </w:rPr>
        <w:t>Audience quick reference for a 15 to 20 minute recorded lecture</w:t>
      </w:r>
      <w:r w:rsidR="00C1182D">
        <w:rPr>
          <w:color w:val="464646"/>
          <w:sz w:val="17"/>
        </w:rPr>
        <w:t xml:space="preserve">- </w:t>
      </w:r>
      <w:hyperlink r:id="rId6" w:history="1">
        <w:r w:rsidR="00C1182D" w:rsidRPr="007102AE">
          <w:rPr>
            <w:rStyle w:val="Hyperlink"/>
            <w:sz w:val="17"/>
          </w:rPr>
          <w:t>https://youtu.be/_E3pIq8_zcs</w:t>
        </w:r>
      </w:hyperlink>
      <w:r w:rsidR="00C1182D">
        <w:rPr>
          <w:color w:val="464646"/>
          <w:sz w:val="17"/>
        </w:rPr>
        <w:t xml:space="preserve"> </w:t>
      </w:r>
    </w:p>
    <w:p w14:paraId="76087104" w14:textId="77777777" w:rsidR="006669C2" w:rsidRDefault="00C04929">
      <w:pPr>
        <w:spacing w:after="100"/>
      </w:pPr>
      <w:r>
        <w:rPr>
          <w:b/>
          <w:color w:val="000000"/>
          <w:sz w:val="18"/>
        </w:rPr>
        <w:t xml:space="preserve">Key message  </w:t>
      </w:r>
      <w:r>
        <w:rPr>
          <w:color w:val="000000"/>
          <w:sz w:val="18"/>
        </w:rPr>
        <w:t>The observed genomic dataset reflects both the pathogen process and the observation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7992"/>
      </w:tblGrid>
      <w:tr w:rsidR="006669C2" w14:paraId="2EAA11EA" w14:textId="77777777">
        <w:trPr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E49CB1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Figure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5BFDE8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Teaching message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286B52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Panel or element prompts</w:t>
            </w:r>
          </w:p>
        </w:tc>
      </w:tr>
      <w:tr w:rsidR="006669C2" w14:paraId="1ABE397B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7E11C7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1  Surveillance cascade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7CDBFA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Analyzed genomes are selected through several nonrandom filters before inference begins.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0FFA1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Underlying infections include more diversity than surveillance observes.</w:t>
            </w:r>
          </w:p>
          <w:p w14:paraId="24FADA6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Healthcare, testing, specimen, sequencing, and metadata filters alter composition.</w:t>
            </w:r>
          </w:p>
          <w:p w14:paraId="4699F0F8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The final genomic dataset and phylogeny describe retained observations.</w:t>
            </w:r>
          </w:p>
        </w:tc>
      </w:tr>
      <w:tr w:rsidR="006669C2" w14:paraId="55C2D604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AFDFEE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2  One epidemic two datasets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2E6270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The same epidemic can yield different phylogenetic summaries when sampling composition changes.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832645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Hold the underlying epidemic constant.</w:t>
            </w:r>
          </w:p>
          <w:p w14:paraId="44601F20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Broad sampling captures locations, times, and lineages more evenly.</w:t>
            </w:r>
          </w:p>
          <w:p w14:paraId="3696E458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Concentrated sampling makes one recent clade appear disproportionately important.</w:t>
            </w:r>
          </w:p>
        </w:tc>
      </w:tr>
      <w:tr w:rsidR="006669C2" w14:paraId="1032B145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992D53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3  Temporal sampling bias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6C82C6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Sampling time can change apparent epidemic growth, lineage persistence, and replacement.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E1B38E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Compare the same epidemic through time.</w:t>
            </w:r>
          </w:p>
          <w:p w14:paraId="63B22F51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Peak-centered sampling emphasizes rapid expansion.</w:t>
            </w:r>
          </w:p>
          <w:p w14:paraId="45CE2372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Late or delayed sampling changes which lineages appear persistent or absent.</w:t>
            </w:r>
          </w:p>
        </w:tc>
      </w:tr>
      <w:tr w:rsidR="006669C2" w14:paraId="40896B4C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C76A47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4  Geographic bias and source attribution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444E0D7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Dense surveillance can make a well-sampled location appear to be the source.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7250A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The complete history includes movement among locations and an origin outside the best-sampled site.</w:t>
            </w:r>
          </w:p>
          <w:p w14:paraId="098DDC03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Sparse source-region sampling shifts apparent basal diversity toward the dense site.</w:t>
            </w:r>
          </w:p>
          <w:p w14:paraId="223E066E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Contextual sequences can revise source attribution without changing the original genomes.</w:t>
            </w:r>
          </w:p>
        </w:tc>
      </w:tr>
      <w:tr w:rsidR="006669C2" w14:paraId="55C97D0E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E62B6E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5  Clinical ascertainment and apparent advantage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1D1F97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Differential detection can mimic lineage growth without a transmission or fitness advantage.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51844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Begin with lineages having equal underlying transmission.</w:t>
            </w:r>
          </w:p>
          <w:p w14:paraId="454D4A67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Greater symptoms or severity increase testing and sequencing for one lineage.</w:t>
            </w:r>
          </w:p>
          <w:p w14:paraId="412C2663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Growth among sequences may reflect ascertainment rather than growth among infections.</w:t>
            </w:r>
          </w:p>
        </w:tc>
      </w:tr>
      <w:tr w:rsidR="006669C2" w14:paraId="77EE2FD1" w14:textId="77777777">
        <w:trPr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CF5ACD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5"/>
              </w:rPr>
              <w:t>6  Outbreak and cluster oversampling</w:t>
            </w:r>
          </w:p>
        </w:tc>
        <w:tc>
          <w:tcPr>
            <w:tcW w:w="43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DB46B7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Investigation intensity can make one institutional cluster dominate a regional dataset.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347E9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Community and institutional transmission coexist.</w:t>
            </w:r>
          </w:p>
          <w:p w14:paraId="69E97C2F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Near-complete cluster sampling contrasts with sparse community sampling.</w:t>
            </w:r>
          </w:p>
          <w:p w14:paraId="3D4E17A7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Sequence counts need not equal infections or independent transmission chains.</w:t>
            </w:r>
          </w:p>
        </w:tc>
      </w:tr>
    </w:tbl>
    <w:p w14:paraId="07AD5014" w14:textId="77777777" w:rsidR="006669C2" w:rsidRDefault="00C04929">
      <w:pPr>
        <w:spacing w:before="60"/>
        <w:jc w:val="right"/>
      </w:pPr>
      <w:r>
        <w:rPr>
          <w:color w:val="5A5A5A"/>
          <w:sz w:val="14"/>
        </w:rPr>
        <w:t>Study design data bias and analytical strategies  |  Part I</w:t>
      </w:r>
    </w:p>
    <w:p w14:paraId="1EE5B901" w14:textId="77777777" w:rsidR="006669C2" w:rsidRDefault="00C04929">
      <w:r>
        <w:br w:type="page"/>
      </w:r>
    </w:p>
    <w:p w14:paraId="6DF71581" w14:textId="77777777" w:rsidR="006669C2" w:rsidRDefault="00C04929">
      <w:pPr>
        <w:pStyle w:val="Title"/>
        <w:spacing w:after="20"/>
      </w:pPr>
      <w:r>
        <w:rPr>
          <w:rFonts w:ascii="Arial" w:hAnsi="Arial"/>
          <w:b/>
          <w:color w:val="000000"/>
          <w:sz w:val="34"/>
        </w:rPr>
        <w:lastRenderedPageBreak/>
        <w:t>Part II  Identifying Bias</w:t>
      </w:r>
    </w:p>
    <w:p w14:paraId="3B00F445" w14:textId="26455CE1" w:rsidR="006669C2" w:rsidRDefault="00C04929">
      <w:pPr>
        <w:spacing w:after="80"/>
      </w:pPr>
      <w:r>
        <w:rPr>
          <w:color w:val="464646"/>
          <w:sz w:val="17"/>
        </w:rPr>
        <w:t>Audience quick reference for a 15 to 20 minute recorded lecture</w:t>
      </w:r>
      <w:r w:rsidR="004D2A68">
        <w:rPr>
          <w:color w:val="464646"/>
          <w:sz w:val="17"/>
        </w:rPr>
        <w:t xml:space="preserve">- </w:t>
      </w:r>
      <w:hyperlink r:id="rId7" w:history="1">
        <w:r w:rsidR="00E77F0F" w:rsidRPr="007102AE">
          <w:rPr>
            <w:rStyle w:val="Hyperlink"/>
            <w:sz w:val="17"/>
          </w:rPr>
          <w:t>https://youtu.be/pwugAbdL1v0</w:t>
        </w:r>
      </w:hyperlink>
      <w:r w:rsidR="00E77F0F">
        <w:rPr>
          <w:color w:val="464646"/>
          <w:sz w:val="17"/>
        </w:rPr>
        <w:t xml:space="preserve"> </w:t>
      </w:r>
    </w:p>
    <w:p w14:paraId="2EA7BF07" w14:textId="77777777" w:rsidR="006669C2" w:rsidRDefault="00C04929">
      <w:pPr>
        <w:spacing w:after="100"/>
      </w:pPr>
      <w:r>
        <w:rPr>
          <w:b/>
          <w:color w:val="000000"/>
          <w:sz w:val="18"/>
        </w:rPr>
        <w:t xml:space="preserve">Key message  </w:t>
      </w:r>
      <w:r>
        <w:rPr>
          <w:color w:val="000000"/>
          <w:sz w:val="18"/>
        </w:rPr>
        <w:t>Bias becomes diagnosable when genomic observations are compared with denominators, data-quality measures, and an explicit inclusion mechanism.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536"/>
        <w:gridCol w:w="7704"/>
      </w:tblGrid>
      <w:tr w:rsidR="006669C2" w14:paraId="7F8FB04D" w14:textId="77777777">
        <w:trPr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583FB7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Figure</w:t>
            </w: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9136F4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Teaching message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628FF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Panel or element prompts</w:t>
            </w:r>
          </w:p>
        </w:tc>
      </w:tr>
      <w:tr w:rsidR="006669C2" w14:paraId="6EEEB77F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6B68F1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7  Sampling coverage matrix</w:t>
            </w: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A5BFD7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8"/>
              </w:rPr>
              <w:t>Representativeness requires denominators and data-quality information, not raw sequence counts alone.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BD703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Raw counts identify where genomes are abundant.</w:t>
            </w:r>
          </w:p>
          <w:p w14:paraId="748721B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Cases or another denominator reveal the sequencing fraction across location and time.</w:t>
            </w:r>
          </w:p>
          <w:p w14:paraId="7F25F9D7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Specimen quality and metadata completeness identify additional selection after sampling.</w:t>
            </w:r>
          </w:p>
        </w:tc>
      </w:tr>
      <w:tr w:rsidR="006669C2" w14:paraId="1E0A543F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026FDB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8  The inclusion mechanism</w:t>
            </w: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8A13FB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8"/>
              </w:rPr>
              <w:t>Selection bias depends on why observations enter the analyzed dataset.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2D3B7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Location, time, host characteristics, and severity may affect both outcomes and inclusion.</w:t>
            </w:r>
          </w:p>
          <w:p w14:paraId="694FB978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Specimen quality creates a distinct technical path into sequencing.</w:t>
            </w:r>
          </w:p>
          <w:p w14:paraId="328B1DF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Conditioning on inclusion can induce associations that were absent in the target population.</w:t>
            </w:r>
          </w:p>
        </w:tc>
      </w:tr>
      <w:tr w:rsidR="006669C2" w14:paraId="6D0B9670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4EA67E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9  Stability under perturbation</w:t>
            </w: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55ECB1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8"/>
              </w:rPr>
              <w:t>Sensitivity to plausible perturbations identifies conclusions that depend on sampling or analysis choices.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660FA1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Perturb geography, time, outbreak inclusion, and other defensible analytical choices.</w:t>
            </w:r>
          </w:p>
          <w:p w14:paraId="5A72585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Compare clade membership, relative lineage growth, and source attribution across reruns.</w:t>
            </w:r>
          </w:p>
          <w:p w14:paraId="6FB42565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8"/>
              </w:rPr>
              <w:t>• Stability increases confidence only for tested perturbations; shared bias can remain unchanged.</w:t>
            </w:r>
          </w:p>
        </w:tc>
      </w:tr>
    </w:tbl>
    <w:p w14:paraId="7097458A" w14:textId="77777777" w:rsidR="006669C2" w:rsidRDefault="00C04929">
      <w:pPr>
        <w:spacing w:before="60"/>
        <w:jc w:val="right"/>
      </w:pPr>
      <w:r>
        <w:rPr>
          <w:color w:val="5A5A5A"/>
          <w:sz w:val="14"/>
        </w:rPr>
        <w:t>Study design data bias and analytical strategies  |  Part II</w:t>
      </w:r>
    </w:p>
    <w:p w14:paraId="7653ACE6" w14:textId="77777777" w:rsidR="006669C2" w:rsidRDefault="00C04929">
      <w:r>
        <w:br w:type="page"/>
      </w:r>
    </w:p>
    <w:p w14:paraId="031CF7CF" w14:textId="77777777" w:rsidR="006669C2" w:rsidRDefault="00C04929">
      <w:pPr>
        <w:pStyle w:val="Title"/>
        <w:spacing w:after="20"/>
      </w:pPr>
      <w:r>
        <w:rPr>
          <w:rFonts w:ascii="Arial" w:hAnsi="Arial"/>
          <w:b/>
          <w:color w:val="000000"/>
          <w:sz w:val="34"/>
        </w:rPr>
        <w:lastRenderedPageBreak/>
        <w:t>Part III  Design and Analytical Responses</w:t>
      </w:r>
    </w:p>
    <w:p w14:paraId="095B643E" w14:textId="4F514B65" w:rsidR="006669C2" w:rsidRDefault="00C04929">
      <w:pPr>
        <w:spacing w:after="80"/>
      </w:pPr>
      <w:r>
        <w:rPr>
          <w:color w:val="464646"/>
          <w:sz w:val="17"/>
        </w:rPr>
        <w:t>Audience quick reference for a 15 to 20 minute recorded lecture</w:t>
      </w:r>
      <w:r w:rsidR="00083233">
        <w:rPr>
          <w:color w:val="464646"/>
          <w:sz w:val="17"/>
        </w:rPr>
        <w:t xml:space="preserve">- </w:t>
      </w:r>
      <w:hyperlink r:id="rId8" w:history="1">
        <w:r w:rsidR="00284026" w:rsidRPr="007102AE">
          <w:rPr>
            <w:rStyle w:val="Hyperlink"/>
            <w:sz w:val="17"/>
          </w:rPr>
          <w:t>https://youtu.be/OFMBeOyqIjg</w:t>
        </w:r>
      </w:hyperlink>
      <w:r w:rsidR="00284026">
        <w:rPr>
          <w:color w:val="464646"/>
          <w:sz w:val="17"/>
        </w:rPr>
        <w:t xml:space="preserve"> </w:t>
      </w:r>
    </w:p>
    <w:p w14:paraId="1221602B" w14:textId="77777777" w:rsidR="006669C2" w:rsidRDefault="00C04929">
      <w:pPr>
        <w:spacing w:after="100"/>
      </w:pPr>
      <w:r>
        <w:rPr>
          <w:b/>
          <w:color w:val="000000"/>
          <w:sz w:val="18"/>
        </w:rPr>
        <w:t xml:space="preserve">Key message  </w:t>
      </w:r>
      <w:r>
        <w:rPr>
          <w:color w:val="000000"/>
          <w:sz w:val="18"/>
        </w:rPr>
        <w:t>Design and analysis must follow the estimand; no method repairs structural absence or guarantees representative inference.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464"/>
        <w:gridCol w:w="7776"/>
      </w:tblGrid>
      <w:tr w:rsidR="006669C2" w14:paraId="2C28B2F0" w14:textId="77777777">
        <w:trPr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72FA3A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Figure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F63888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Teaching message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65D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E3971A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Panel or element prompts</w:t>
            </w:r>
          </w:p>
        </w:tc>
      </w:tr>
      <w:tr w:rsidR="006669C2" w14:paraId="7ABD5C30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6569A5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10A  Define the estimand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92AB38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A sampling strategy cannot be evaluated until the target quantity is explicit.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BF59B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Start with the scientific question.</w:t>
            </w:r>
          </w:p>
          <w:p w14:paraId="4DE26BB2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Specify population, time, place, and quantity.</w:t>
            </w:r>
          </w:p>
          <w:p w14:paraId="024A62CF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State the estimand before choosing a design.</w:t>
            </w:r>
          </w:p>
        </w:tc>
      </w:tr>
      <w:tr w:rsidR="006669C2" w14:paraId="72E45E1B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869819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10B  Match design to estimand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85CED3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Different questions require different sampling structures.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5C4308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Lineage prevalence: probability-based or proportional sampling.</w:t>
            </w:r>
          </w:p>
          <w:p w14:paraId="6D843D3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Relative lineage growth: comparable longitudinal coverage.</w:t>
            </w:r>
          </w:p>
          <w:p w14:paraId="052DEA8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Geographic spread: coverage across connected places.</w:t>
            </w:r>
          </w:p>
          <w:p w14:paraId="4D8B450A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Introduction or source inference: contextual and earlier sampling.</w:t>
            </w:r>
          </w:p>
        </w:tc>
      </w:tr>
      <w:tr w:rsidR="006669C2" w14:paraId="69C1BBF1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FB2AF8" w14:textId="7EF642DA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11</w:t>
            </w:r>
            <w:r w:rsidR="00051C2A">
              <w:rPr>
                <w:b/>
                <w:color w:val="000000"/>
              </w:rPr>
              <w:t>A</w:t>
            </w:r>
            <w:r>
              <w:rPr>
                <w:b/>
                <w:color w:val="000000"/>
              </w:rPr>
              <w:t xml:space="preserve">  Balanced subsampling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7AC3AFE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Balancing observed strata can reduce domination, but it changes the represented distribution.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600660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Diagnose uneven location, time, and outbreak composition.</w:t>
            </w:r>
          </w:p>
          <w:p w14:paraId="5FE1847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Sample within prespecified strata relevant to the estimand.</w:t>
            </w:r>
          </w:p>
          <w:p w14:paraId="69A493A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Compare estimates without treating either observed dataset as population truth.</w:t>
            </w:r>
          </w:p>
        </w:tc>
      </w:tr>
      <w:tr w:rsidR="006669C2" w14:paraId="6C4FF3D6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540EED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11B  Different subsampling targets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CD7609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Equal, epidemic-informed, and probability-weighted selection target different distributions.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360C3C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Equal within strata supports balanced comparisons.</w:t>
            </w:r>
          </w:p>
          <w:p w14:paraId="58805940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Epidemic-informed selection follows reported-case incidence and its denominator limitations.</w:t>
            </w:r>
          </w:p>
          <w:p w14:paraId="4EECC50A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Probability-weighted selection requires defensible retention probabilities.</w:t>
            </w:r>
          </w:p>
        </w:tc>
      </w:tr>
      <w:tr w:rsidR="006669C2" w14:paraId="0AC5C89D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4A4576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12  Repeated balanced subsampling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57AF4A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Repeated draws quantify dependence on which observed genomes are retained.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EC612D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Apply the same design to many subsets.</w:t>
            </w:r>
          </w:p>
          <w:p w14:paraId="4358FD80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Repeat the same analysis for every subset.</w:t>
            </w:r>
          </w:p>
          <w:p w14:paraId="4801DE9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Report the distribution, not one arbitrary draw; it is not a confidence interval or posterior.</w:t>
            </w:r>
          </w:p>
        </w:tc>
      </w:tr>
      <w:tr w:rsidR="006669C2" w14:paraId="28C3F3C5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0ADDC84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13A  Analytical weighting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F1979D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Weighting retains observations but changes their contribution to a defined target.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52057A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Keep all observed genomes.</w:t>
            </w:r>
          </w:p>
          <w:p w14:paraId="60A8EFF0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Estimate inclusion probabilities and corresponding weights.</w:t>
            </w:r>
          </w:p>
          <w:p w14:paraId="4C09A321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Compare weighted and unweighted estimates without designating either as truth.</w:t>
            </w:r>
          </w:p>
        </w:tc>
      </w:tr>
      <w:tr w:rsidR="006669C2" w14:paraId="0477682C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6B8AB0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13B  When weighting is not enough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B4254E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Weighting depends on positivity, an adequate inclusion model, and measured causes of selection.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07F0FC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No observations: an absent stratum is unidentified.</w:t>
            </w:r>
          </w:p>
          <w:p w14:paraId="35B4DC13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Near-zero inclusion: extreme weights amplify variance and influence.</w:t>
            </w:r>
          </w:p>
          <w:p w14:paraId="766B875C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Misspecified probabilities can increase bias.</w:t>
            </w:r>
          </w:p>
          <w:p w14:paraId="1634D90C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Unmeasured selection cannot be adjusted away.</w:t>
            </w:r>
          </w:p>
        </w:tc>
      </w:tr>
      <w:tr w:rsidR="006669C2" w14:paraId="39CC2933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3E4060C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14  Sensitivity analysis ladder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C8DEB1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Sensitivity analyses should target plausible mechanisms of bias or model failure.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13E82A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Progress from exclusions, balancing, and repeated subsampling to weighting, structural assumptions, and external evidence.</w:t>
            </w:r>
          </w:p>
          <w:p w14:paraId="0CBE987C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Increasing departure from the primary specification does not mean increasing validity.</w:t>
            </w:r>
          </w:p>
          <w:p w14:paraId="06EC7EE1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Classify results as conclusion stable, magnitude sensitive, or conclusion inconsistent.</w:t>
            </w:r>
          </w:p>
        </w:tc>
      </w:tr>
      <w:tr w:rsidR="006669C2" w14:paraId="2CA73617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554A7D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15  Limit of analytical correction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1789C2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Methods cannot reconstruct an unconstrained population absent from the sampling frame.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0CA3F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Identify structural absence, not merely underrepresentation.</w:t>
            </w:r>
          </w:p>
          <w:p w14:paraId="1CFB991F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Subsampling, weighting, and repeated analyses reuse observed information.</w:t>
            </w:r>
          </w:p>
          <w:p w14:paraId="7B2DF1EE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Collect relevant evidence or restrict the estimand and claim.</w:t>
            </w:r>
          </w:p>
        </w:tc>
      </w:tr>
      <w:tr w:rsidR="006669C2" w14:paraId="2FFFD49B" w14:textId="77777777">
        <w:trPr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5D2E926" w14:textId="77777777" w:rsidR="006669C2" w:rsidRDefault="00C04929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16  From diagnosis to inference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4713A6" w14:textId="77777777" w:rsidR="006669C2" w:rsidRDefault="00C04929">
            <w:pPr>
              <w:spacing w:after="0" w:line="230" w:lineRule="auto"/>
            </w:pPr>
            <w:r>
              <w:rPr>
                <w:color w:val="000000"/>
                <w:sz w:val="15"/>
              </w:rPr>
              <w:t>Defensible inference aligns the estimand, inclusion process, coverage, analysis, and stated claim.</w:t>
            </w:r>
          </w:p>
        </w:tc>
        <w:tc>
          <w:tcPr>
            <w:tcW w:w="77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C98DA9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Define the estimand, map inclusion, and assess coverage.</w:t>
            </w:r>
          </w:p>
          <w:p w14:paraId="0B4C7BBE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If all target strata are observed, choose an adjustment, test sensitivity, and bound the conclusion.</w:t>
            </w:r>
          </w:p>
          <w:p w14:paraId="1033D85B" w14:textId="77777777" w:rsidR="006669C2" w:rsidRDefault="00C04929">
            <w:pPr>
              <w:spacing w:after="12" w:line="228" w:lineRule="auto"/>
              <w:ind w:left="187" w:hanging="144"/>
            </w:pPr>
            <w:r>
              <w:rPr>
                <w:color w:val="000000"/>
                <w:sz w:val="15"/>
              </w:rPr>
              <w:t>• If a target stratum is absent, add evidence or narrow the estimand.</w:t>
            </w:r>
          </w:p>
        </w:tc>
      </w:tr>
    </w:tbl>
    <w:p w14:paraId="048C04F8" w14:textId="77777777" w:rsidR="006669C2" w:rsidRDefault="00C04929">
      <w:pPr>
        <w:spacing w:before="60"/>
        <w:jc w:val="right"/>
      </w:pPr>
      <w:r>
        <w:rPr>
          <w:color w:val="5A5A5A"/>
          <w:sz w:val="14"/>
        </w:rPr>
        <w:t>Study design data bias and analytical strategies  |  Part III</w:t>
      </w:r>
    </w:p>
    <w:sectPr w:rsidR="006669C2" w:rsidSect="00034616">
      <w:pgSz w:w="15840" w:h="12240" w:orient="landscape"/>
      <w:pgMar w:top="461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416893">
    <w:abstractNumId w:val="8"/>
  </w:num>
  <w:num w:numId="2" w16cid:durableId="1128475391">
    <w:abstractNumId w:val="6"/>
  </w:num>
  <w:num w:numId="3" w16cid:durableId="2129732882">
    <w:abstractNumId w:val="5"/>
  </w:num>
  <w:num w:numId="4" w16cid:durableId="1507793468">
    <w:abstractNumId w:val="4"/>
  </w:num>
  <w:num w:numId="5" w16cid:durableId="215430096">
    <w:abstractNumId w:val="7"/>
  </w:num>
  <w:num w:numId="6" w16cid:durableId="894199980">
    <w:abstractNumId w:val="3"/>
  </w:num>
  <w:num w:numId="7" w16cid:durableId="1768965356">
    <w:abstractNumId w:val="2"/>
  </w:num>
  <w:num w:numId="8" w16cid:durableId="1469321066">
    <w:abstractNumId w:val="1"/>
  </w:num>
  <w:num w:numId="9" w16cid:durableId="5248262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2A"/>
    <w:rsid w:val="0006063C"/>
    <w:rsid w:val="00083233"/>
    <w:rsid w:val="0015074B"/>
    <w:rsid w:val="00284026"/>
    <w:rsid w:val="0029639D"/>
    <w:rsid w:val="00326F90"/>
    <w:rsid w:val="003E3819"/>
    <w:rsid w:val="004D2A68"/>
    <w:rsid w:val="006669C2"/>
    <w:rsid w:val="00AA1D8D"/>
    <w:rsid w:val="00AC652D"/>
    <w:rsid w:val="00B47730"/>
    <w:rsid w:val="00C04929"/>
    <w:rsid w:val="00C1182D"/>
    <w:rsid w:val="00CB0664"/>
    <w:rsid w:val="00E77F0F"/>
    <w:rsid w:val="00F66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120910-21C8-A245-8F27-E2ECB29C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18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FMBeOyqIjg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pwugAbdL1v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_E3pIq8_zc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Design Data Bias and Analytical Strategies Figure Quick Reference</dc:title>
  <dc:subject>Audience reference for a three-part recorded lecture</dc:subject>
  <dc:creator/>
  <cp:keywords/>
  <dc:description>generated by python-docx</dc:description>
  <cp:lastModifiedBy>Ludy Registre Carmola</cp:lastModifiedBy>
  <cp:revision>8</cp:revision>
  <dcterms:created xsi:type="dcterms:W3CDTF">2013-12-23T23:15:00Z</dcterms:created>
  <dcterms:modified xsi:type="dcterms:W3CDTF">2026-09-30T20:39:00Z</dcterms:modified>
  <cp:category/>
</cp:coreProperties>
</file>