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324E1" w:rsidR="00D72EB9" w:rsidP="6F02A170" w:rsidRDefault="00D72EB9" w14:paraId="65BADDDA" w14:textId="055CF395">
      <w:pPr>
        <w:pStyle w:val="NormalWeb"/>
        <w:spacing w:before="0" w:beforeAutospacing="off" w:after="150" w:afterAutospacing="off"/>
        <w:rPr>
          <w:rFonts w:ascii="Arial" w:hAnsi="Arial" w:cs="Arial"/>
          <w:b w:val="1"/>
          <w:bCs w:val="1"/>
          <w:color w:val="1F1F1F"/>
        </w:rPr>
      </w:pPr>
      <w:r w:rsidRPr="6F02A170" w:rsidR="776D8D87">
        <w:rPr>
          <w:rFonts w:ascii="Arial" w:hAnsi="Arial" w:cs="Arial"/>
          <w:b w:val="1"/>
          <w:bCs w:val="1"/>
          <w:color w:val="1F1F1F"/>
        </w:rPr>
        <w:t>Case Study</w:t>
      </w:r>
      <w:r w:rsidRPr="6F02A170" w:rsidR="7DB605A6">
        <w:rPr>
          <w:rFonts w:ascii="Arial" w:hAnsi="Arial" w:cs="Arial"/>
          <w:b w:val="1"/>
          <w:bCs w:val="1"/>
          <w:color w:val="1F1F1F"/>
        </w:rPr>
        <w:t xml:space="preserve"> 1</w:t>
      </w:r>
      <w:r w:rsidRPr="6F02A170" w:rsidR="776D8D87">
        <w:rPr>
          <w:rFonts w:ascii="Arial" w:hAnsi="Arial" w:cs="Arial"/>
          <w:b w:val="1"/>
          <w:bCs w:val="1"/>
          <w:color w:val="1F1F1F"/>
        </w:rPr>
        <w:t>: Real-Time Genomics in Outbreak Investigation</w:t>
      </w:r>
    </w:p>
    <w:p w:rsidRPr="00E324E1" w:rsidR="00D72EB9" w:rsidP="6F02A170" w:rsidRDefault="00A91D6C" w14:paraId="6BBAC3A4" w14:textId="3E9C9192">
      <w:pPr>
        <w:pStyle w:val="NormalWeb"/>
        <w:spacing w:before="0" w:beforeAutospacing="off" w:after="150" w:afterAutospacing="off"/>
        <w:rPr>
          <w:rFonts w:ascii="Arial" w:hAnsi="Arial" w:cs="Arial"/>
          <w:color w:val="1F1F1F"/>
        </w:rPr>
      </w:pPr>
      <w:r w:rsidRPr="6F02A170" w:rsidR="19EB0B61">
        <w:rPr>
          <w:rFonts w:ascii="Arial" w:hAnsi="Arial" w:cs="Arial"/>
          <w:color w:val="1F1F1F"/>
        </w:rPr>
        <w:t>Breakout group #</w:t>
      </w:r>
      <w:r w:rsidRPr="6F02A170" w:rsidR="00420417">
        <w:rPr>
          <w:rFonts w:ascii="Arial" w:hAnsi="Arial" w:cs="Arial"/>
          <w:color w:val="1F1F1F"/>
        </w:rPr>
        <w:t>:</w:t>
      </w:r>
    </w:p>
    <w:p w:rsidR="76BD5AE5" w:rsidP="488617B7" w:rsidRDefault="76BD5AE5" w14:paraId="6FA7CC61" w14:textId="5EB48D10">
      <w:pPr>
        <w:pStyle w:val="NormalWeb"/>
        <w:spacing w:before="0" w:beforeAutospacing="off" w:after="150" w:afterAutospacing="off"/>
      </w:pPr>
      <w:r w:rsidRPr="488617B7" w:rsidR="76BD5AE5">
        <w:rPr>
          <w:rFonts w:ascii="Arial" w:hAnsi="Arial" w:cs="Arial"/>
          <w:color w:val="1F1F1F"/>
        </w:rPr>
        <w:t>Group members:</w:t>
      </w:r>
    </w:p>
    <w:p w:rsidRPr="00E324E1" w:rsidR="00A91D6C" w:rsidP="00D72EB9" w:rsidRDefault="00A91D6C" w14:paraId="44101178" w14:textId="2D6877B2">
      <w:pPr>
        <w:pStyle w:val="NormalWeb"/>
        <w:spacing w:before="0" w:beforeAutospacing="0" w:after="150" w:afterAutospacing="0"/>
        <w:rPr>
          <w:rFonts w:ascii="Arial" w:hAnsi="Arial" w:cs="Arial"/>
          <w:color w:val="1F1F1F"/>
        </w:rPr>
      </w:pPr>
      <w:r w:rsidRPr="00E324E1">
        <w:rPr>
          <w:rFonts w:ascii="Arial" w:hAnsi="Arial" w:cs="Arial"/>
          <w:color w:val="1F1F1F"/>
        </w:rPr>
        <w:t>Facilitator:</w:t>
      </w:r>
      <w:r w:rsidR="00362103">
        <w:rPr>
          <w:rFonts w:ascii="Arial" w:hAnsi="Arial" w:cs="Arial"/>
          <w:color w:val="1F1F1F"/>
        </w:rPr>
        <w:t xml:space="preserve"> </w:t>
      </w:r>
    </w:p>
    <w:p w:rsidRPr="00E324E1" w:rsidR="00A91D6C" w:rsidP="488617B7" w:rsidRDefault="00A91D6C" w14:paraId="4673B692" w14:textId="5B7F7ADA">
      <w:pPr>
        <w:pStyle w:val="NormalWeb"/>
        <w:spacing w:before="0" w:beforeAutospacing="off" w:after="150" w:afterAutospacing="off"/>
        <w:rPr>
          <w:rFonts w:ascii="Arial" w:hAnsi="Arial" w:cs="Arial"/>
          <w:color w:val="1F1F1F"/>
        </w:rPr>
      </w:pPr>
      <w:r w:rsidRPr="488617B7" w:rsidR="757EF854">
        <w:rPr>
          <w:rFonts w:ascii="Arial" w:hAnsi="Arial" w:cs="Arial"/>
          <w:color w:val="1F1F1F"/>
        </w:rPr>
        <w:t>Note</w:t>
      </w:r>
      <w:r w:rsidRPr="488617B7" w:rsidR="030B72EB">
        <w:rPr>
          <w:rFonts w:ascii="Arial" w:hAnsi="Arial" w:cs="Arial"/>
          <w:color w:val="1F1F1F"/>
        </w:rPr>
        <w:t>-</w:t>
      </w:r>
      <w:r w:rsidRPr="488617B7" w:rsidR="5CFE99A9">
        <w:rPr>
          <w:rFonts w:ascii="Arial" w:hAnsi="Arial" w:cs="Arial"/>
          <w:color w:val="1F1F1F"/>
        </w:rPr>
        <w:t>taker:</w:t>
      </w:r>
    </w:p>
    <w:p w:rsidRPr="00E324E1" w:rsidR="0011208D" w:rsidP="488617B7" w:rsidRDefault="0011208D" w14:paraId="0FE001DC" w14:textId="12485615">
      <w:pPr>
        <w:pStyle w:val="NormalWeb"/>
        <w:spacing w:before="0" w:beforeAutospacing="off" w:after="150" w:afterAutospacing="off"/>
      </w:pPr>
      <w:r w:rsidRPr="488617B7" w:rsidR="5CFE99A9">
        <w:rPr>
          <w:rFonts w:ascii="Arial" w:hAnsi="Arial" w:cs="Arial"/>
          <w:color w:val="1F1F1F"/>
        </w:rPr>
        <w:t>Reporter:</w:t>
      </w:r>
    </w:p>
    <w:p w:rsidRPr="00E324E1" w:rsidR="0011208D" w:rsidP="488617B7" w:rsidRDefault="0011208D" w14:paraId="742D8BCC" w14:textId="0DD001F6">
      <w:pPr>
        <w:pStyle w:val="NormalWeb"/>
        <w:spacing w:before="0" w:beforeAutospacing="off" w:after="150" w:afterAutospacing="off"/>
        <w:rPr>
          <w:rFonts w:ascii="Arial" w:hAnsi="Arial" w:cs="Arial"/>
          <w:color w:val="1F1F1F"/>
        </w:rPr>
      </w:pPr>
    </w:p>
    <w:p w:rsidR="00D72EB9" w:rsidP="488617B7" w:rsidRDefault="00D72EB9" w14:paraId="76F05A25" w14:textId="77777777">
      <w:pPr>
        <w:pStyle w:val="NormalWeb"/>
        <w:spacing w:before="0" w:beforeAutospacing="off" w:after="150" w:afterAutospacing="off"/>
        <w:rPr>
          <w:rFonts w:ascii="Arial" w:hAnsi="Arial" w:cs="Arial"/>
          <w:b w:val="1"/>
          <w:bCs w:val="1"/>
          <w:color w:val="1F1F1F"/>
        </w:rPr>
      </w:pPr>
      <w:r w:rsidRPr="488617B7" w:rsidR="223EB051">
        <w:rPr>
          <w:rFonts w:ascii="Arial" w:hAnsi="Arial" w:cs="Arial"/>
          <w:b w:val="1"/>
          <w:bCs w:val="1"/>
          <w:color w:val="1F1F1F"/>
        </w:rPr>
        <w:t>Journal article summary</w:t>
      </w:r>
    </w:p>
    <w:p w:rsidRPr="00E324E1" w:rsidR="00D72EB9" w:rsidP="488617B7" w:rsidRDefault="00D72EB9" w14:paraId="3BA40A7F" w14:textId="0C54A448">
      <w:pPr>
        <w:pStyle w:val="NormalWeb"/>
        <w:spacing w:before="0" w:beforeAutospacing="off" w:after="150" w:afterAutospacing="off" w:line="240" w:lineRule="auto"/>
        <w:rPr>
          <w:rFonts w:ascii="Arial" w:hAnsi="Arial" w:cs="Arial"/>
          <w:color w:val="1F1F1F"/>
        </w:rPr>
      </w:pPr>
      <w:r w:rsidRPr="488617B7" w:rsidR="2012FE40">
        <w:rPr>
          <w:rFonts w:ascii="Arial" w:hAnsi="Arial" w:cs="Arial"/>
          <w:color w:val="1F1F1F"/>
        </w:rPr>
        <w:t xml:space="preserve">When treated as a foundational case study on the role of genomics in public health, the Gardy et al. (2011) paper serves as a perfect bridge between traditional field epidemiology and modern precision public health. Published at the dawn of the genomic </w:t>
      </w:r>
      <w:r w:rsidRPr="488617B7" w:rsidR="2012FE40">
        <w:rPr>
          <w:rFonts w:ascii="Arial" w:hAnsi="Arial" w:cs="Arial"/>
          <w:color w:val="1F1F1F"/>
        </w:rPr>
        <w:t>revolution in</w:t>
      </w:r>
      <w:r w:rsidRPr="488617B7" w:rsidR="2012FE40">
        <w:rPr>
          <w:rFonts w:ascii="Arial" w:hAnsi="Arial" w:cs="Arial"/>
          <w:color w:val="1F1F1F"/>
        </w:rPr>
        <w:t xml:space="preserve"> infectious disease tracking, this seminal study transformed whole-genome sequencing (WGS) from a retrospective academic curiosity into an actionable, frontline public health tool.</w:t>
      </w:r>
    </w:p>
    <w:p w:rsidRPr="00E324E1" w:rsidR="00D72EB9" w:rsidP="488617B7" w:rsidRDefault="00D72EB9" w14:paraId="12170868" w14:textId="02BEF0E6">
      <w:pPr>
        <w:pStyle w:val="NormalWeb"/>
        <w:spacing w:before="0" w:beforeAutospacing="off" w:after="150" w:afterAutospacing="off" w:line="240" w:lineRule="auto"/>
      </w:pPr>
      <w:r w:rsidRPr="488617B7" w:rsidR="2BC21B34">
        <w:rPr>
          <w:rFonts w:ascii="Arial" w:hAnsi="Arial" w:cs="Arial"/>
          <w:color w:val="1F1F1F"/>
        </w:rPr>
        <w:t>For decades, tracking infectious diseases relied on two main tools: classic "shoe-leather" detective work</w:t>
      </w:r>
      <w:r w:rsidRPr="488617B7" w:rsidR="4ABFAA34">
        <w:rPr>
          <w:rFonts w:ascii="Arial" w:hAnsi="Arial" w:cs="Arial"/>
          <w:color w:val="1F1F1F"/>
        </w:rPr>
        <w:t xml:space="preserve"> (</w:t>
      </w:r>
      <w:r w:rsidRPr="488617B7" w:rsidR="040870D1">
        <w:rPr>
          <w:rFonts w:ascii="Arial" w:hAnsi="Arial" w:cs="Arial"/>
          <w:color w:val="1F1F1F"/>
        </w:rPr>
        <w:t>interviewing patients, mapping contacts, and tracing social overlaps</w:t>
      </w:r>
      <w:r w:rsidRPr="488617B7" w:rsidR="3ED035E9">
        <w:rPr>
          <w:rFonts w:ascii="Arial" w:hAnsi="Arial" w:cs="Arial"/>
          <w:color w:val="1F1F1F"/>
        </w:rPr>
        <w:t>)</w:t>
      </w:r>
      <w:r w:rsidRPr="488617B7" w:rsidR="040870D1">
        <w:rPr>
          <w:rFonts w:ascii="Arial" w:hAnsi="Arial" w:cs="Arial"/>
          <w:color w:val="1F1F1F"/>
        </w:rPr>
        <w:t xml:space="preserve"> </w:t>
      </w:r>
      <w:r w:rsidRPr="488617B7" w:rsidR="2BC21B34">
        <w:rPr>
          <w:rFonts w:ascii="Arial" w:hAnsi="Arial" w:cs="Arial"/>
          <w:color w:val="1F1F1F"/>
        </w:rPr>
        <w:t xml:space="preserve">and </w:t>
      </w:r>
      <w:r w:rsidRPr="488617B7" w:rsidR="17507EBD">
        <w:rPr>
          <w:rFonts w:ascii="Arial" w:hAnsi="Arial" w:cs="Arial"/>
          <w:color w:val="1F1F1F"/>
        </w:rPr>
        <w:t>low-resolution laboratory genotyping.</w:t>
      </w:r>
      <w:r w:rsidRPr="488617B7" w:rsidR="2BC21B34">
        <w:rPr>
          <w:rFonts w:ascii="Arial" w:hAnsi="Arial" w:cs="Arial"/>
          <w:color w:val="1F1F1F"/>
        </w:rPr>
        <w:t xml:space="preserve"> While helpful, this approach had major blind spots. Traditional </w:t>
      </w:r>
      <w:r w:rsidRPr="488617B7" w:rsidR="6BD212F7">
        <w:rPr>
          <w:rFonts w:ascii="Arial" w:hAnsi="Arial" w:cs="Arial"/>
          <w:color w:val="1F1F1F"/>
        </w:rPr>
        <w:t>genotyping</w:t>
      </w:r>
      <w:r w:rsidRPr="488617B7" w:rsidR="2BC21B34">
        <w:rPr>
          <w:rFonts w:ascii="Arial" w:hAnsi="Arial" w:cs="Arial"/>
          <w:color w:val="1F1F1F"/>
        </w:rPr>
        <w:t xml:space="preserve"> could tell if two germs were similar, but they </w:t>
      </w:r>
      <w:r w:rsidRPr="488617B7" w:rsidR="2BC21B34">
        <w:rPr>
          <w:rFonts w:ascii="Arial" w:hAnsi="Arial" w:cs="Arial"/>
          <w:color w:val="1F1F1F"/>
        </w:rPr>
        <w:t>couldn't</w:t>
      </w:r>
      <w:r w:rsidRPr="488617B7" w:rsidR="2BC21B34">
        <w:rPr>
          <w:rFonts w:ascii="Arial" w:hAnsi="Arial" w:cs="Arial"/>
          <w:color w:val="1F1F1F"/>
        </w:rPr>
        <w:t xml:space="preserve"> prove whether Person A </w:t>
      </w:r>
      <w:r w:rsidRPr="488617B7" w:rsidR="2BC21B34">
        <w:rPr>
          <w:rFonts w:ascii="Arial" w:hAnsi="Arial" w:cs="Arial"/>
          <w:color w:val="1F1F1F"/>
        </w:rPr>
        <w:t>actually infected</w:t>
      </w:r>
      <w:r w:rsidRPr="488617B7" w:rsidR="2BC21B34">
        <w:rPr>
          <w:rFonts w:ascii="Arial" w:hAnsi="Arial" w:cs="Arial"/>
          <w:color w:val="1F1F1F"/>
        </w:rPr>
        <w:t xml:space="preserve"> Person B. Meanwhile, interviews depended on human memory and trust, meaning people often forgot brief interactions or hid visits to illegal or stigmatized spaces.</w:t>
      </w:r>
    </w:p>
    <w:p w:rsidRPr="00E324E1" w:rsidR="00D72EB9" w:rsidP="488617B7" w:rsidRDefault="00D72EB9" w14:paraId="0CD0EE9F" w14:textId="3AE810B1">
      <w:pPr>
        <w:pStyle w:val="NormalWeb"/>
        <w:spacing w:before="0" w:beforeAutospacing="off" w:after="150" w:afterAutospacing="off" w:line="240" w:lineRule="auto"/>
      </w:pPr>
      <w:r w:rsidRPr="488617B7" w:rsidR="2BC21B34">
        <w:rPr>
          <w:rFonts w:ascii="Arial" w:hAnsi="Arial" w:cs="Arial"/>
          <w:color w:val="1F1F1F"/>
        </w:rPr>
        <w:t>The Gardy study changed everything during a sudden, severe spike in tuberculosis (TB) cases in British Columbia.</w:t>
      </w:r>
      <w:r w:rsidRPr="488617B7" w:rsidR="26FF0E97">
        <w:rPr>
          <w:rFonts w:ascii="Arial" w:hAnsi="Arial" w:cs="Arial"/>
          <w:color w:val="1F1F1F"/>
        </w:rPr>
        <w:t xml:space="preserve"> </w:t>
      </w:r>
      <w:r w:rsidRPr="488617B7" w:rsidR="2BC21B34">
        <w:rPr>
          <w:rFonts w:ascii="Arial" w:hAnsi="Arial" w:cs="Arial"/>
          <w:color w:val="1F1F1F"/>
        </w:rPr>
        <w:t xml:space="preserve">At first, health officials feared the worst: standard tests suggested a terrifying "superbug" mutant strain was spreading fast. But by sequencing the </w:t>
      </w:r>
      <w:r w:rsidRPr="488617B7" w:rsidR="75A5F629">
        <w:rPr>
          <w:rFonts w:ascii="Arial" w:hAnsi="Arial" w:cs="Arial"/>
          <w:color w:val="1F1F1F"/>
        </w:rPr>
        <w:t>genome</w:t>
      </w:r>
      <w:r w:rsidRPr="488617B7" w:rsidR="2BC21B34">
        <w:rPr>
          <w:rFonts w:ascii="Arial" w:hAnsi="Arial" w:cs="Arial"/>
          <w:color w:val="1F1F1F"/>
        </w:rPr>
        <w:t xml:space="preserve"> of the bacteria and combining that data with maps of the patients' social connections, the researchers uncovered a completely different reality</w:t>
      </w:r>
      <w:r w:rsidRPr="488617B7" w:rsidR="09E7F4B7">
        <w:rPr>
          <w:rFonts w:ascii="Arial" w:hAnsi="Arial" w:cs="Arial"/>
          <w:color w:val="1F1F1F"/>
        </w:rPr>
        <w:t xml:space="preserve">: </w:t>
      </w:r>
      <w:r w:rsidRPr="488617B7" w:rsidR="2BC21B34">
        <w:rPr>
          <w:rFonts w:ascii="Arial" w:hAnsi="Arial" w:cs="Arial"/>
          <w:color w:val="1F1F1F"/>
        </w:rPr>
        <w:t>The</w:t>
      </w:r>
      <w:r w:rsidRPr="488617B7" w:rsidR="2BC21B34">
        <w:rPr>
          <w:rFonts w:ascii="Arial" w:hAnsi="Arial" w:cs="Arial"/>
          <w:color w:val="1F1F1F"/>
        </w:rPr>
        <w:t xml:space="preserve"> </w:t>
      </w:r>
      <w:r w:rsidRPr="488617B7" w:rsidR="2BC21B34">
        <w:rPr>
          <w:rFonts w:ascii="Arial" w:hAnsi="Arial" w:cs="Arial"/>
          <w:color w:val="1F1F1F"/>
        </w:rPr>
        <w:t>bacteria</w:t>
      </w:r>
      <w:r w:rsidRPr="488617B7" w:rsidR="50BC2FF6">
        <w:rPr>
          <w:rFonts w:ascii="Arial" w:hAnsi="Arial" w:cs="Arial"/>
          <w:color w:val="1F1F1F"/>
        </w:rPr>
        <w:t xml:space="preserve"> </w:t>
      </w:r>
      <w:r w:rsidRPr="488617B7" w:rsidR="50BC2FF6">
        <w:rPr>
          <w:rFonts w:ascii="Arial" w:hAnsi="Arial" w:cs="Arial"/>
          <w:color w:val="1F1F1F"/>
        </w:rPr>
        <w:t>hadn’t</w:t>
      </w:r>
      <w:r w:rsidRPr="488617B7" w:rsidR="50BC2FF6">
        <w:rPr>
          <w:rFonts w:ascii="Arial" w:hAnsi="Arial" w:cs="Arial"/>
          <w:color w:val="1F1F1F"/>
        </w:rPr>
        <w:t xml:space="preserve"> change</w:t>
      </w:r>
      <w:r w:rsidRPr="488617B7" w:rsidR="11EE5DD1">
        <w:rPr>
          <w:rFonts w:ascii="Arial" w:hAnsi="Arial" w:cs="Arial"/>
          <w:color w:val="1F1F1F"/>
        </w:rPr>
        <w:t>d</w:t>
      </w:r>
      <w:r w:rsidRPr="488617B7" w:rsidR="2BC21B34">
        <w:rPr>
          <w:rFonts w:ascii="Arial" w:hAnsi="Arial" w:cs="Arial"/>
          <w:color w:val="1F1F1F"/>
        </w:rPr>
        <w:t xml:space="preserve"> </w:t>
      </w:r>
      <w:r w:rsidRPr="488617B7" w:rsidR="723DB7D4">
        <w:rPr>
          <w:rFonts w:ascii="Arial" w:hAnsi="Arial" w:cs="Arial"/>
          <w:color w:val="1F1F1F"/>
        </w:rPr>
        <w:t xml:space="preserve">and certainly not </w:t>
      </w:r>
      <w:r w:rsidRPr="488617B7" w:rsidR="2BC21B34">
        <w:rPr>
          <w:rFonts w:ascii="Arial" w:hAnsi="Arial" w:cs="Arial"/>
          <w:color w:val="1F1F1F"/>
        </w:rPr>
        <w:t>mutated into a super-strain.</w:t>
      </w:r>
      <w:r w:rsidRPr="488617B7" w:rsidR="01C47805">
        <w:rPr>
          <w:rFonts w:ascii="Arial" w:hAnsi="Arial" w:cs="Arial"/>
          <w:color w:val="1F1F1F"/>
        </w:rPr>
        <w:t xml:space="preserve"> The study found that s</w:t>
      </w:r>
      <w:r w:rsidRPr="488617B7" w:rsidR="2BC21B34">
        <w:rPr>
          <w:rFonts w:ascii="Arial" w:hAnsi="Arial" w:cs="Arial"/>
          <w:color w:val="1F1F1F"/>
        </w:rPr>
        <w:t>ocial factors were driving spread</w:t>
      </w:r>
      <w:r w:rsidRPr="488617B7" w:rsidR="169BC195">
        <w:rPr>
          <w:rFonts w:ascii="Arial" w:hAnsi="Arial" w:cs="Arial"/>
          <w:color w:val="1F1F1F"/>
        </w:rPr>
        <w:t xml:space="preserve">. </w:t>
      </w:r>
      <w:r w:rsidRPr="488617B7" w:rsidR="2BC21B34">
        <w:rPr>
          <w:rFonts w:ascii="Arial" w:hAnsi="Arial" w:cs="Arial"/>
          <w:color w:val="1F1F1F"/>
        </w:rPr>
        <w:t xml:space="preserve">The real culprit was a shift in community conditions—specifically, the opening of a local crack house, which created a high-risk environment for </w:t>
      </w:r>
      <w:r w:rsidRPr="488617B7" w:rsidR="2BC21B34">
        <w:rPr>
          <w:rFonts w:ascii="Arial" w:hAnsi="Arial" w:cs="Arial"/>
          <w:color w:val="1F1F1F"/>
        </w:rPr>
        <w:t>transmission.</w:t>
      </w:r>
      <w:r w:rsidRPr="488617B7" w:rsidR="03932FDF">
        <w:rPr>
          <w:rFonts w:ascii="Arial" w:hAnsi="Arial" w:cs="Arial"/>
          <w:color w:val="1F1F1F"/>
        </w:rPr>
        <w:t xml:space="preserve"> </w:t>
      </w:r>
      <w:r w:rsidRPr="488617B7" w:rsidR="2D0B3203">
        <w:rPr>
          <w:rFonts w:ascii="Arial" w:hAnsi="Arial" w:cs="Arial"/>
          <w:color w:val="1F1F1F"/>
        </w:rPr>
        <w:t>Furthermore</w:t>
      </w:r>
      <w:r w:rsidRPr="488617B7" w:rsidR="2D0B3203">
        <w:rPr>
          <w:rFonts w:ascii="Arial" w:hAnsi="Arial" w:cs="Arial"/>
          <w:color w:val="1F1F1F"/>
        </w:rPr>
        <w:t xml:space="preserve">, </w:t>
      </w:r>
      <w:r w:rsidRPr="488617B7" w:rsidR="2E6BD1EF">
        <w:rPr>
          <w:rFonts w:ascii="Arial" w:hAnsi="Arial" w:cs="Arial"/>
          <w:color w:val="1F1F1F"/>
        </w:rPr>
        <w:t xml:space="preserve">what </w:t>
      </w:r>
      <w:r w:rsidRPr="488617B7" w:rsidR="2BC21B34">
        <w:rPr>
          <w:rFonts w:ascii="Arial" w:hAnsi="Arial" w:cs="Arial"/>
          <w:color w:val="1F1F1F"/>
        </w:rPr>
        <w:t xml:space="preserve">looked like one massive runaway outbreak was </w:t>
      </w:r>
      <w:r w:rsidRPr="488617B7" w:rsidR="52E4B2FD">
        <w:rPr>
          <w:rFonts w:ascii="Arial" w:hAnsi="Arial" w:cs="Arial"/>
          <w:color w:val="1F1F1F"/>
        </w:rPr>
        <w:t xml:space="preserve">found to be </w:t>
      </w:r>
      <w:r w:rsidRPr="488617B7" w:rsidR="2BC21B34">
        <w:rPr>
          <w:rFonts w:ascii="Arial" w:hAnsi="Arial" w:cs="Arial"/>
          <w:color w:val="1F1F1F"/>
        </w:rPr>
        <w:t>actually two separate chains of transmission happening at the exact same time in the same neighborhood.</w:t>
      </w:r>
    </w:p>
    <w:p w:rsidRPr="00E324E1" w:rsidR="00D72EB9" w:rsidP="488617B7" w:rsidRDefault="00D72EB9" w14:paraId="0A969970" w14:textId="34FDBA0A">
      <w:pPr>
        <w:pStyle w:val="NormalWeb"/>
        <w:spacing w:before="0" w:beforeAutospacing="off" w:after="150" w:afterAutospacing="off" w:line="240" w:lineRule="auto"/>
      </w:pPr>
      <w:r w:rsidRPr="488617B7" w:rsidR="6630B5E7">
        <w:rPr>
          <w:rFonts w:ascii="Arial" w:hAnsi="Arial" w:cs="Arial"/>
          <w:color w:val="1F1F1F"/>
        </w:rPr>
        <w:t xml:space="preserve">As an introduction to the role of genomics in public health, this case study teaches us that genomics is not a replacement for traditional epidemiology, but its ultimate accelerator. It </w:t>
      </w:r>
      <w:r w:rsidRPr="488617B7" w:rsidR="6630B5E7">
        <w:rPr>
          <w:rFonts w:ascii="Arial" w:hAnsi="Arial" w:cs="Arial"/>
          <w:color w:val="1F1F1F"/>
        </w:rPr>
        <w:t>demonstrates</w:t>
      </w:r>
      <w:r w:rsidRPr="488617B7" w:rsidR="6630B5E7">
        <w:rPr>
          <w:rFonts w:ascii="Arial" w:hAnsi="Arial" w:cs="Arial"/>
          <w:color w:val="1F1F1F"/>
        </w:rPr>
        <w:t xml:space="preserve"> how microscopic genetic variations can illuminate macroscopic social inequities, redefine how we declare and track outbreak clusters, and provide the hyper-precise data necessary to deploy targeted, effective public health interventions. This paper stands as a masterclass in how breaking down the silos between the laboratory, the computer terminal, and the field can fundamentally reshape modern disease control.</w:t>
      </w:r>
    </w:p>
    <w:p w:rsidRPr="00E324E1" w:rsidR="00D72EB9" w:rsidP="488617B7" w:rsidRDefault="00D72EB9" w14:paraId="67CAD8B8" w14:textId="4F38FAFE">
      <w:pPr>
        <w:pStyle w:val="NormalWeb"/>
        <w:spacing w:before="0" w:beforeAutospacing="off" w:after="150" w:afterAutospacing="off" w:line="240" w:lineRule="auto"/>
        <w:rPr>
          <w:rFonts w:ascii="Arial" w:hAnsi="Arial" w:eastAsia="Times New Roman" w:cs="Arial"/>
          <w:b w:val="1"/>
          <w:bCs w:val="1"/>
          <w:color w:val="1F1F1F"/>
        </w:rPr>
      </w:pPr>
    </w:p>
    <w:p w:rsidR="6F02A170" w:rsidP="6F02A170" w:rsidRDefault="6F02A170" w14:paraId="3A24CBAC" w14:textId="7B6FF4FF">
      <w:pPr>
        <w:pStyle w:val="NormalWeb"/>
        <w:spacing w:before="0" w:beforeAutospacing="off" w:after="150" w:afterAutospacing="off" w:line="240" w:lineRule="auto"/>
        <w:rPr>
          <w:rFonts w:ascii="Arial" w:hAnsi="Arial" w:eastAsia="Times New Roman" w:cs="Arial"/>
          <w:b w:val="1"/>
          <w:bCs w:val="1"/>
          <w:color w:val="1F1F1F"/>
        </w:rPr>
      </w:pPr>
    </w:p>
    <w:p w:rsidR="6F02A170" w:rsidP="6F02A170" w:rsidRDefault="6F02A170" w14:paraId="113336B1" w14:textId="2F1C5E83">
      <w:pPr>
        <w:pStyle w:val="NormalWeb"/>
        <w:spacing w:before="0" w:beforeAutospacing="off" w:after="150" w:afterAutospacing="off" w:line="240" w:lineRule="auto"/>
        <w:rPr>
          <w:rFonts w:ascii="Arial" w:hAnsi="Arial" w:eastAsia="Times New Roman" w:cs="Arial"/>
          <w:b w:val="1"/>
          <w:bCs w:val="1"/>
          <w:color w:val="1F1F1F"/>
        </w:rPr>
      </w:pPr>
    </w:p>
    <w:p w:rsidRPr="00E324E1" w:rsidR="00D72EB9" w:rsidP="488617B7" w:rsidRDefault="00D72EB9" w14:paraId="22C9462E" w14:textId="1CD93210">
      <w:pPr>
        <w:pStyle w:val="NormalWeb"/>
        <w:spacing w:before="0" w:beforeAutospacing="off" w:after="150" w:afterAutospacing="off" w:line="240" w:lineRule="auto"/>
      </w:pPr>
      <w:r w:rsidRPr="488617B7" w:rsidR="223EB051">
        <w:rPr>
          <w:rFonts w:ascii="Arial" w:hAnsi="Arial" w:eastAsia="Times New Roman" w:cs="Arial"/>
          <w:b w:val="1"/>
          <w:bCs w:val="1"/>
          <w:color w:val="1F1F1F"/>
        </w:rPr>
        <w:t>Discussion Prompts</w:t>
      </w:r>
    </w:p>
    <w:p w:rsidR="348A3B01" w:rsidP="488617B7" w:rsidRDefault="348A3B01" w14:paraId="2ADD68E8" w14:textId="037F0796">
      <w:pPr>
        <w:pStyle w:val="NormalWeb"/>
        <w:spacing w:before="0" w:beforeAutospacing="off" w:after="150" w:afterAutospacing="off"/>
      </w:pPr>
      <w:hyperlink r:id="R11325d3e778e401e">
        <w:r w:rsidRPr="488617B7" w:rsidR="348A3B01">
          <w:rPr>
            <w:rStyle w:val="Hyperlink"/>
            <w:b w:val="1"/>
            <w:bCs w:val="1"/>
          </w:rPr>
          <w:t>Mural board</w:t>
        </w:r>
      </w:hyperlink>
      <w:r w:rsidRPr="488617B7" w:rsidR="348A3B01">
        <w:rPr>
          <w:rFonts w:ascii="Arial" w:hAnsi="Arial" w:eastAsia="Times New Roman" w:cs="Arial"/>
          <w:b w:val="1"/>
          <w:bCs w:val="1"/>
          <w:color w:val="1F1F1F"/>
        </w:rPr>
        <w:t xml:space="preserve"> </w:t>
      </w:r>
    </w:p>
    <w:p w:rsidRPr="00E324E1" w:rsidR="00D72EB9" w:rsidP="00D72EB9" w:rsidRDefault="00D72EB9" w14:paraId="7DD9C133" w14:textId="5260E4C6">
      <w:pPr>
        <w:spacing w:after="120" w:line="240" w:lineRule="auto"/>
        <w:outlineLvl w:val="2"/>
        <w:rPr>
          <w:rFonts w:ascii="Arial" w:hAnsi="Arial" w:eastAsia="Times New Roman" w:cs="Arial"/>
          <w:b w:val="1"/>
          <w:bCs w:val="1"/>
          <w:color w:val="1F1F1F"/>
          <w:kern w:val="0"/>
          <w14:ligatures w14:val="none"/>
        </w:rPr>
      </w:pPr>
      <w:r w:rsidRPr="00E324E1" w:rsidR="776D8D87">
        <w:rPr>
          <w:rFonts w:ascii="Arial" w:hAnsi="Arial" w:eastAsia="Times New Roman" w:cs="Arial"/>
          <w:b w:val="1"/>
          <w:bCs w:val="1"/>
          <w:color w:val="1F1F1F"/>
          <w:kern w:val="0"/>
          <w14:ligatures w14:val="none"/>
        </w:rPr>
        <w:t xml:space="preserve">Objective </w:t>
      </w:r>
      <w:r w:rsidRPr="6F02A170" w:rsidR="6B770052">
        <w:rPr>
          <w:rFonts w:ascii="Arial" w:hAnsi="Arial" w:eastAsia="Times New Roman" w:cs="Arial"/>
          <w:b w:val="1"/>
          <w:bCs w:val="1"/>
          <w:color w:val="1F1F1F"/>
        </w:rPr>
        <w:t>1</w:t>
      </w:r>
      <w:r w:rsidRPr="6F02A170" w:rsidR="776D8D87">
        <w:rPr>
          <w:rFonts w:ascii="Arial" w:hAnsi="Arial" w:eastAsia="Times New Roman" w:cs="Arial"/>
          <w:b w:val="1"/>
          <w:bCs w:val="1"/>
          <w:color w:val="1F1F1F"/>
        </w:rPr>
        <w:t>: Surveillance Integration</w:t>
      </w:r>
    </w:p>
    <w:p w:rsidRPr="00E324E1" w:rsidR="00D72EB9" w:rsidP="00D72EB9" w:rsidRDefault="00D72EB9" w14:paraId="132B637B" w14:textId="77777777">
      <w:pPr>
        <w:numPr>
          <w:ilvl w:val="0"/>
          <w:numId w:val="1"/>
        </w:numPr>
        <w:spacing w:after="0" w:line="240" w:lineRule="auto"/>
        <w:rPr>
          <w:rFonts w:ascii="Arial" w:hAnsi="Arial" w:eastAsia="Times New Roman" w:cs="Arial"/>
          <w:color w:val="1F1F1F"/>
          <w:kern w:val="0"/>
          <w14:ligatures w14:val="none"/>
        </w:rPr>
      </w:pPr>
      <w:r w:rsidRPr="00E324E1" w:rsidR="223EB051">
        <w:rPr>
          <w:rFonts w:ascii="Arial" w:hAnsi="Arial" w:eastAsia="Times New Roman" w:cs="Arial"/>
          <w:b w:val="1"/>
          <w:bCs w:val="1"/>
          <w:color w:val="1F1F1F"/>
          <w:kern w:val="0"/>
          <w:bdr w:val="none" w:color="auto" w:sz="0" w:space="0" w:frame="1"/>
          <w14:ligatures w14:val="none"/>
        </w:rPr>
        <w:t>Discussion Prompt 1:</w:t>
      </w:r>
      <w:r w:rsidRPr="00E324E1" w:rsidR="223EB051">
        <w:rPr>
          <w:rFonts w:ascii="Arial" w:hAnsi="Arial" w:eastAsia="Times New Roman" w:cs="Arial"/>
          <w:color w:val="1F1F1F"/>
          <w:kern w:val="0"/>
          <w14:ligatures w14:val="none"/>
        </w:rPr>
        <w:t xml:space="preserve"> Gardy et al. discovered two distinct genomic lineages that shared the exact same MIRU-VNTR genotype. If your jurisdiction relied solely on traditional genotyping, how would this affect your surveillance data and resource allocation?</w:t>
      </w:r>
    </w:p>
    <w:p w:rsidR="488617B7" w:rsidP="488617B7" w:rsidRDefault="488617B7" w14:paraId="6D703286" w14:textId="7FA1DFDD">
      <w:pPr>
        <w:spacing w:after="0" w:line="240" w:lineRule="auto"/>
        <w:ind w:left="720"/>
        <w:rPr>
          <w:rFonts w:ascii="Arial" w:hAnsi="Arial" w:eastAsia="Times New Roman" w:cs="Arial"/>
          <w:color w:val="1F1F1F"/>
        </w:rPr>
      </w:pPr>
    </w:p>
    <w:p w:rsidRPr="00E324E1" w:rsidR="00D72EB9" w:rsidP="00D72EB9" w:rsidRDefault="00D72EB9" w14:paraId="02942647" w14:textId="028075C9">
      <w:pPr>
        <w:numPr>
          <w:ilvl w:val="0"/>
          <w:numId w:val="1"/>
        </w:numPr>
        <w:spacing w:after="0" w:line="240" w:lineRule="auto"/>
        <w:rPr/>
      </w:pPr>
      <w:r w:rsidRPr="00E324E1" w:rsidR="51240A73">
        <w:rPr>
          <w:rFonts w:ascii="Arial" w:hAnsi="Arial" w:eastAsia="Times New Roman" w:cs="Arial"/>
          <w:b w:val="1"/>
          <w:bCs w:val="1"/>
          <w:color w:val="1F1F1F"/>
          <w:kern w:val="0"/>
          <w:bdr w:val="none" w:color="auto" w:sz="0" w:space="0" w:frame="1"/>
          <w14:ligatures w14:val="none"/>
        </w:rPr>
        <w:t>Discussion Prompt 2:</w:t>
      </w:r>
      <w:r w:rsidRPr="00E324E1" w:rsidR="51240A73">
        <w:rPr>
          <w:rFonts w:ascii="Arial" w:hAnsi="Arial" w:eastAsia="Times New Roman" w:cs="Arial"/>
          <w:color w:val="1F1F1F"/>
          <w:kern w:val="0"/>
          <w:bdr w:val="none" w:color="auto" w:sz="0" w:space="0" w:frame="1"/>
          <w14:ligatures w14:val="none"/>
        </w:rPr>
        <w:t xml:space="preserve"> </w:t>
      </w:r>
      <w:r w:rsidRPr="0EDA7641" w:rsidR="5CFDDC0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The study demonstrated that neither genomic data nor social network data was fully clear on its own. What specific public health insights emerge </w:t>
      </w:r>
      <w:r w:rsidRPr="0EDA7641" w:rsidR="5CFDDC0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only</w:t>
      </w:r>
      <w:r w:rsidRPr="0EDA7641" w:rsidR="5CFDDC0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when you overlay genomic linkages onto social contact maps, and how does this combined picture change how you trace contacts?</w:t>
      </w:r>
    </w:p>
    <w:p w:rsidR="488617B7" w:rsidP="488617B7" w:rsidRDefault="488617B7" w14:paraId="64A2FDAB" w14:textId="685EE871">
      <w:pPr>
        <w:spacing w:after="0" w:line="240" w:lineRule="auto"/>
        <w:ind w:left="720"/>
        <w:rPr>
          <w:rFonts w:ascii="Arial" w:hAnsi="Arial" w:eastAsia="Times New Roman" w:cs="Arial"/>
          <w:color w:val="1F1F1F"/>
        </w:rPr>
      </w:pPr>
    </w:p>
    <w:p w:rsidRPr="00E324E1" w:rsidR="00D72EB9" w:rsidP="00D72EB9" w:rsidRDefault="00D72EB9" w14:paraId="088D14F0" w14:textId="1DF76214">
      <w:pPr>
        <w:spacing w:after="120" w:line="240" w:lineRule="auto"/>
        <w:outlineLvl w:val="2"/>
        <w:rPr>
          <w:rFonts w:ascii="Arial" w:hAnsi="Arial" w:eastAsia="Times New Roman" w:cs="Arial"/>
          <w:b w:val="1"/>
          <w:bCs w:val="1"/>
          <w:color w:val="1F1F1F"/>
          <w:kern w:val="0"/>
          <w14:ligatures w14:val="none"/>
        </w:rPr>
      </w:pPr>
      <w:r w:rsidRPr="00E324E1" w:rsidR="776D8D87">
        <w:rPr>
          <w:rFonts w:ascii="Arial" w:hAnsi="Arial" w:eastAsia="Times New Roman" w:cs="Arial"/>
          <w:b w:val="1"/>
          <w:bCs w:val="1"/>
          <w:color w:val="1F1F1F"/>
          <w:kern w:val="0"/>
          <w14:ligatures w14:val="none"/>
        </w:rPr>
        <w:t xml:space="preserve">Objective </w:t>
      </w:r>
      <w:r w:rsidRPr="6F02A170" w:rsidR="57818C95">
        <w:rPr>
          <w:rFonts w:ascii="Arial" w:hAnsi="Arial" w:eastAsia="Times New Roman" w:cs="Arial"/>
          <w:b w:val="1"/>
          <w:bCs w:val="1"/>
          <w:color w:val="1F1F1F"/>
        </w:rPr>
        <w:t>2</w:t>
      </w:r>
      <w:r w:rsidRPr="6F02A170" w:rsidR="776D8D87">
        <w:rPr>
          <w:rFonts w:ascii="Arial" w:hAnsi="Arial" w:eastAsia="Times New Roman" w:cs="Arial"/>
          <w:b w:val="1"/>
          <w:bCs w:val="1"/>
          <w:color w:val="1F1F1F"/>
        </w:rPr>
        <w:t>: Outbreak Detection Thresholds</w:t>
      </w:r>
    </w:p>
    <w:p w:rsidRPr="00E324E1" w:rsidR="00D72EB9" w:rsidP="00D72EB9" w:rsidRDefault="00D72EB9" w14:paraId="00AFABE2" w14:textId="77777777">
      <w:pPr>
        <w:numPr>
          <w:ilvl w:val="0"/>
          <w:numId w:val="2"/>
        </w:numPr>
        <w:spacing w:after="0" w:line="240" w:lineRule="auto"/>
        <w:rPr>
          <w:rFonts w:ascii="Arial" w:hAnsi="Arial" w:eastAsia="Times New Roman" w:cs="Arial"/>
          <w:color w:val="1F1F1F"/>
          <w:kern w:val="0"/>
          <w14:ligatures w14:val="none"/>
        </w:rPr>
      </w:pPr>
      <w:r w:rsidRPr="00E324E1" w:rsidR="223EB051">
        <w:rPr>
          <w:rFonts w:ascii="Arial" w:hAnsi="Arial" w:eastAsia="Times New Roman" w:cs="Arial"/>
          <w:b w:val="1"/>
          <w:bCs w:val="1"/>
          <w:color w:val="1F1F1F"/>
          <w:kern w:val="0"/>
          <w:bdr w:val="none" w:color="auto" w:sz="0" w:space="0" w:frame="1"/>
          <w14:ligatures w14:val="none"/>
        </w:rPr>
        <w:t>Discussion Prompt 3:</w:t>
      </w:r>
      <w:r w:rsidRPr="00E324E1" w:rsidR="223EB051">
        <w:rPr>
          <w:rFonts w:ascii="Arial" w:hAnsi="Arial" w:eastAsia="Times New Roman" w:cs="Arial"/>
          <w:color w:val="1F1F1F"/>
          <w:kern w:val="0"/>
          <w:bdr w:val="none" w:color="auto" w:sz="0" w:space="0" w:frame="1"/>
          <w14:ligatures w14:val="none"/>
        </w:rPr>
        <w:t xml:space="preserve"> The authors looked at historical isolates from years prior that matched the outbreak genotype.</w:t>
      </w:r>
      <w:r w:rsidRPr="00E324E1" w:rsidR="223EB051">
        <w:rPr>
          <w:rFonts w:ascii="Arial" w:hAnsi="Arial" w:eastAsia="Times New Roman" w:cs="Arial"/>
          <w:color w:val="1F1F1F"/>
          <w:kern w:val="0"/>
          <w14:ligatures w14:val="none"/>
        </w:rPr>
        <w:t xml:space="preserve"> How does understanding the "background genetic diversity" or local baseline of a pathogen prevent us from falsely declaring an active outbreak? </w:t>
      </w:r>
    </w:p>
    <w:p w:rsidR="488617B7" w:rsidP="488617B7" w:rsidRDefault="488617B7" w14:paraId="68D282F3" w14:textId="51C3B2DD">
      <w:pPr>
        <w:spacing w:after="0" w:line="240" w:lineRule="auto"/>
        <w:ind w:left="720"/>
        <w:rPr>
          <w:rFonts w:ascii="Arial" w:hAnsi="Arial" w:eastAsia="Times New Roman" w:cs="Arial"/>
          <w:color w:val="1F1F1F"/>
        </w:rPr>
      </w:pPr>
    </w:p>
    <w:p w:rsidRPr="00E324E1" w:rsidR="00D72EB9" w:rsidP="00D72EB9" w:rsidRDefault="00D72EB9" w14:paraId="6E61AE11" w14:textId="77777777">
      <w:pPr>
        <w:numPr>
          <w:ilvl w:val="0"/>
          <w:numId w:val="2"/>
        </w:numPr>
        <w:spacing w:after="0" w:line="240" w:lineRule="auto"/>
        <w:rPr>
          <w:rFonts w:ascii="Arial" w:hAnsi="Arial" w:eastAsia="Times New Roman" w:cs="Arial"/>
          <w:color w:val="1F1F1F"/>
          <w:kern w:val="0"/>
          <w14:ligatures w14:val="none"/>
        </w:rPr>
      </w:pPr>
      <w:r w:rsidRPr="00E324E1" w:rsidR="223EB051">
        <w:rPr>
          <w:rFonts w:ascii="Arial" w:hAnsi="Arial" w:eastAsia="Times New Roman" w:cs="Arial"/>
          <w:b w:val="1"/>
          <w:bCs w:val="1"/>
          <w:color w:val="1F1F1F"/>
          <w:kern w:val="0"/>
          <w:bdr w:val="none" w:color="auto" w:sz="0" w:space="0" w:frame="1"/>
          <w14:ligatures w14:val="none"/>
        </w:rPr>
        <w:t>Discussion Prompt 4:</w:t>
      </w:r>
      <w:r w:rsidRPr="00E324E1" w:rsidR="223EB051">
        <w:rPr>
          <w:rFonts w:ascii="Arial" w:hAnsi="Arial" w:eastAsia="Times New Roman" w:cs="Arial"/>
          <w:color w:val="1F1F1F"/>
          <w:kern w:val="0"/>
          <w:bdr w:val="none" w:color="auto" w:sz="0" w:space="0" w:frame="1"/>
          <w14:ligatures w14:val="none"/>
        </w:rPr>
        <w:t xml:space="preserve"> </w:t>
      </w:r>
      <w:r w:rsidRPr="488617B7" w:rsidR="223EB051">
        <w:rPr>
          <w:rFonts w:ascii="Arial" w:hAnsi="Arial" w:eastAsia="Times New Roman" w:cs="Arial"/>
          <w:i w:val="1"/>
          <w:iCs w:val="1"/>
          <w:color w:val="1F1F1F"/>
          <w:kern w:val="0"/>
          <w:bdr w:val="none" w:color="auto" w:sz="0" w:space="0" w:frame="1"/>
          <w14:ligatures w14:val="none"/>
        </w:rPr>
        <w:t>Mycobacterium tuberculosis</w:t>
      </w:r>
      <w:r w:rsidRPr="00E324E1" w:rsidR="223EB051">
        <w:rPr>
          <w:rFonts w:ascii="Arial" w:hAnsi="Arial" w:eastAsia="Times New Roman" w:cs="Arial"/>
          <w:color w:val="1F1F1F"/>
          <w:kern w:val="0"/>
          <w:bdr w:val="none" w:color="auto" w:sz="0" w:space="0" w:frame="1"/>
          <w14:ligatures w14:val="none"/>
        </w:rPr>
        <w:t xml:space="preserve"> mutates very slowly (roughly 0.5 SNPs per year). If you were tracking a fast-mutating pathogen like Influenza or Norovirus, how would your genetic threshold for defining an active transmission chain change?</w:t>
      </w:r>
      <w:r w:rsidRPr="00E324E1" w:rsidR="223EB051">
        <w:rPr>
          <w:rFonts w:ascii="Arial" w:hAnsi="Arial" w:eastAsia="Times New Roman" w:cs="Arial"/>
          <w:color w:val="1F1F1F"/>
          <w:kern w:val="0"/>
          <w14:ligatures w14:val="none"/>
        </w:rPr>
        <w:t xml:space="preserve"> </w:t>
      </w:r>
    </w:p>
    <w:p w:rsidR="488617B7" w:rsidP="488617B7" w:rsidRDefault="488617B7" w14:paraId="012806E8" w14:textId="442E67E8">
      <w:pPr>
        <w:spacing w:after="0" w:line="240" w:lineRule="auto"/>
        <w:ind w:left="720"/>
        <w:rPr>
          <w:rFonts w:ascii="Arial" w:hAnsi="Arial" w:eastAsia="Times New Roman" w:cs="Arial"/>
          <w:color w:val="1F1F1F"/>
        </w:rPr>
      </w:pPr>
    </w:p>
    <w:p w:rsidRPr="00E324E1" w:rsidR="00D72EB9" w:rsidP="488617B7" w:rsidRDefault="00D72EB9" w14:paraId="541AA53E" w14:textId="7BA6D4D5">
      <w:pPr>
        <w:spacing w:after="120" w:line="240" w:lineRule="auto"/>
        <w:outlineLvl w:val="2"/>
        <w:rPr>
          <w:rFonts w:ascii="Arial" w:hAnsi="Arial" w:eastAsia="Times New Roman" w:cs="Arial"/>
          <w:b w:val="1"/>
          <w:bCs w:val="1"/>
          <w:color w:val="1F1F1F"/>
          <w:kern w:val="0"/>
          <w14:ligatures w14:val="none"/>
        </w:rPr>
      </w:pPr>
      <w:r w:rsidRPr="00E324E1" w:rsidR="2918D223">
        <w:rPr>
          <w:rFonts w:ascii="Arial" w:hAnsi="Arial" w:eastAsia="Times New Roman" w:cs="Arial"/>
          <w:b w:val="1"/>
          <w:bCs w:val="1"/>
          <w:color w:val="1F1F1F"/>
          <w:kern w:val="0"/>
          <w14:ligatures w14:val="none"/>
        </w:rPr>
        <w:t xml:space="preserve">Objective </w:t>
      </w:r>
      <w:r w:rsidRPr="6F02A170" w:rsidR="74CEBA82">
        <w:rPr>
          <w:rFonts w:ascii="Arial" w:hAnsi="Arial" w:eastAsia="Times New Roman" w:cs="Arial"/>
          <w:b w:val="1"/>
          <w:bCs w:val="1"/>
          <w:color w:val="1F1F1F"/>
        </w:rPr>
        <w:t>3</w:t>
      </w:r>
      <w:r w:rsidRPr="6F02A170" w:rsidR="2918D223">
        <w:rPr>
          <w:rFonts w:ascii="Arial" w:hAnsi="Arial" w:eastAsia="Times New Roman" w:cs="Arial"/>
          <w:b w:val="1"/>
          <w:bCs w:val="1"/>
          <w:color w:val="1F1F1F"/>
        </w:rPr>
        <w:t>: Decision-Use Frameworks</w:t>
      </w:r>
    </w:p>
    <w:p w:rsidRPr="00E324E1" w:rsidR="00D72EB9" w:rsidP="00D72EB9" w:rsidRDefault="00D72EB9" w14:paraId="594BF309" w14:textId="3B0F6A88">
      <w:pPr>
        <w:numPr>
          <w:ilvl w:val="0"/>
          <w:numId w:val="3"/>
        </w:numPr>
        <w:spacing w:after="0" w:line="240" w:lineRule="auto"/>
        <w:rPr/>
      </w:pPr>
      <w:r w:rsidRPr="00E324E1" w:rsidR="51240A73">
        <w:rPr>
          <w:rFonts w:ascii="Arial" w:hAnsi="Arial" w:eastAsia="Times New Roman" w:cs="Arial"/>
          <w:b w:val="1"/>
          <w:bCs w:val="1"/>
          <w:color w:val="1F1F1F"/>
          <w:kern w:val="0"/>
          <w:bdr w:val="none" w:color="auto" w:sz="0" w:space="0" w:frame="1"/>
          <w14:ligatures w14:val="none"/>
        </w:rPr>
        <w:t>Discussion Prompt 5:</w:t>
      </w:r>
      <w:r w:rsidRPr="00E324E1" w:rsidR="51240A73">
        <w:rPr>
          <w:rFonts w:ascii="Arial" w:hAnsi="Arial" w:eastAsia="Times New Roman" w:cs="Arial"/>
          <w:color w:val="1F1F1F"/>
          <w:kern w:val="0"/>
          <w:bdr w:val="none" w:color="auto" w:sz="0" w:space="0" w:frame="1"/>
          <w14:ligatures w14:val="none"/>
        </w:rPr>
        <w:t xml:space="preserve"> The paper concluded that the outbreak trigger </w:t>
      </w:r>
      <w:r w:rsidRPr="0EDA7641" w:rsidR="51240A73">
        <w:rPr>
          <w:rFonts w:ascii="Arial" w:hAnsi="Arial" w:eastAsia="Times New Roman" w:cs="Arial"/>
          <w:color w:val="1F1F1F"/>
        </w:rPr>
        <w:t>wasn't</w:t>
      </w:r>
      <w:r w:rsidRPr="0EDA7641" w:rsidR="51240A73">
        <w:rPr>
          <w:rFonts w:ascii="Arial" w:hAnsi="Arial" w:eastAsia="Times New Roman" w:cs="Arial"/>
          <w:color w:val="1F1F1F"/>
        </w:rPr>
        <w:t xml:space="preserve"> a sudden genetic mutation that made the bacteria more virulent, but rather a socioenvironmental shift (increased crack cocaine use in poorly ventilated spaces).</w:t>
      </w:r>
      <w:r w:rsidRPr="00E324E1" w:rsidR="51240A73">
        <w:rPr>
          <w:rFonts w:ascii="Arial" w:hAnsi="Arial" w:eastAsia="Times New Roman" w:cs="Arial"/>
          <w:color w:val="1F1F1F"/>
          <w:kern w:val="0"/>
          <w14:ligatures w14:val="none"/>
        </w:rPr>
        <w:t xml:space="preserve"> </w:t>
      </w:r>
      <w:r w:rsidRPr="0EDA7641" w:rsidR="61BB2361">
        <w:rPr>
          <w:rFonts w:ascii="Arial" w:hAnsi="Arial" w:eastAsia="Arial" w:cs="Arial"/>
          <w:noProof w:val="0"/>
          <w:sz w:val="24"/>
          <w:szCs w:val="24"/>
          <w:lang w:val="en-US"/>
        </w:rPr>
        <w:t>How should a public health director interpret this finding to pivot their response away from standard clinical measures (e.g., broad isolation, new drug regimens) toward targeted social and environmental interventions?</w:t>
      </w:r>
    </w:p>
    <w:p w:rsidR="488617B7" w:rsidP="488617B7" w:rsidRDefault="488617B7" w14:paraId="3C25C692" w14:textId="14E49A3B">
      <w:pPr>
        <w:spacing w:after="0" w:line="240" w:lineRule="auto"/>
        <w:ind w:left="720"/>
        <w:rPr>
          <w:rFonts w:ascii="Arial" w:hAnsi="Arial" w:eastAsia="Times New Roman" w:cs="Arial"/>
          <w:color w:val="1F1F1F"/>
        </w:rPr>
      </w:pPr>
    </w:p>
    <w:p w:rsidRPr="00E324E1" w:rsidR="00D72EB9" w:rsidP="00D72EB9" w:rsidRDefault="00D72EB9" w14:paraId="09CD52E3" w14:textId="6281ED99">
      <w:pPr>
        <w:numPr>
          <w:ilvl w:val="0"/>
          <w:numId w:val="3"/>
        </w:numPr>
        <w:spacing w:after="0" w:line="240" w:lineRule="auto"/>
        <w:rPr/>
      </w:pPr>
      <w:r w:rsidRPr="00E324E1" w:rsidR="27F11A3F">
        <w:rPr>
          <w:rFonts w:ascii="Arial" w:hAnsi="Arial" w:eastAsia="Times New Roman" w:cs="Arial"/>
          <w:b w:val="1"/>
          <w:bCs w:val="1"/>
          <w:color w:val="1F1F1F"/>
          <w:kern w:val="0"/>
          <w:bdr w:val="none" w:color="auto" w:sz="0" w:space="0" w:frame="1"/>
          <w14:ligatures w14:val="none"/>
        </w:rPr>
        <w:t>Discussion Prompt 6:</w:t>
      </w:r>
      <w:r w:rsidRPr="00E324E1" w:rsidR="27F11A3F">
        <w:rPr>
          <w:rFonts w:ascii="Arial" w:hAnsi="Arial" w:eastAsia="Times New Roman" w:cs="Arial"/>
          <w:color w:val="1F1F1F"/>
          <w:kern w:val="0"/>
          <w14:ligatures w14:val="none"/>
        </w:rPr>
        <w:t xml:space="preserve"> </w:t>
      </w:r>
      <w:r w:rsidRPr="0EDA7641" w:rsidR="5E93FDC8">
        <w:rPr>
          <w:rFonts w:ascii="Arial" w:hAnsi="Arial" w:eastAsia="Arial" w:cs="Arial"/>
          <w:noProof w:val="0"/>
          <w:sz w:val="24"/>
          <w:szCs w:val="24"/>
          <w:lang w:val="en-US"/>
        </w:rPr>
        <w:t>By interpreting the phylogenetic tree alongside social contact data, researchers identified specific "superspreader" individuals and locations. If you were presented with this data mid-outbreak, what specific criteria from the genomic tree would you use to decide where to deploy mobile testing units or offer preventive treatments?</w:t>
      </w:r>
    </w:p>
    <w:p w:rsidRPr="00E324E1" w:rsidR="00D72EB9" w:rsidP="488617B7" w:rsidRDefault="00D72EB9" w14:paraId="2C107664" w14:textId="42F26203">
      <w:pPr>
        <w:pStyle w:val="Normal"/>
      </w:pPr>
    </w:p>
    <w:p w:rsidRPr="00E324E1" w:rsidR="00D72EB9" w:rsidRDefault="00D72EB9" w14:paraId="2FB7240B" w14:textId="77777777"/>
    <w:sectPr w:rsidRPr="00E324E1" w:rsidR="00D72EB9" w:rsidSect="00E324E1">
      <w:type w:val="continuous"/>
      <w:pgSz w:w="12240" w:h="15840" w:orient="portrait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2758"/>
    <w:multiLevelType w:val="multilevel"/>
    <w:tmpl w:val="F732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418095E"/>
    <w:multiLevelType w:val="multilevel"/>
    <w:tmpl w:val="15C2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09E0B56"/>
    <w:multiLevelType w:val="multilevel"/>
    <w:tmpl w:val="1C00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8FF4D16"/>
    <w:multiLevelType w:val="multilevel"/>
    <w:tmpl w:val="27A4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726F6574"/>
    <w:multiLevelType w:val="multilevel"/>
    <w:tmpl w:val="AB4A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7AD052E7"/>
    <w:multiLevelType w:val="multilevel"/>
    <w:tmpl w:val="53C6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943107512">
    <w:abstractNumId w:val="0"/>
  </w:num>
  <w:num w:numId="2" w16cid:durableId="1289121368">
    <w:abstractNumId w:val="1"/>
  </w:num>
  <w:num w:numId="3" w16cid:durableId="1846355664">
    <w:abstractNumId w:val="5"/>
  </w:num>
  <w:num w:numId="4" w16cid:durableId="1419056215">
    <w:abstractNumId w:val="3"/>
  </w:num>
  <w:num w:numId="5" w16cid:durableId="1778141172">
    <w:abstractNumId w:val="4"/>
  </w:num>
  <w:num w:numId="6" w16cid:durableId="2010868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dirty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EB9"/>
    <w:rsid w:val="00007D9E"/>
    <w:rsid w:val="00036A53"/>
    <w:rsid w:val="00077622"/>
    <w:rsid w:val="000803AC"/>
    <w:rsid w:val="000923A7"/>
    <w:rsid w:val="000D6A82"/>
    <w:rsid w:val="000E0071"/>
    <w:rsid w:val="00106216"/>
    <w:rsid w:val="0011208D"/>
    <w:rsid w:val="00112DBA"/>
    <w:rsid w:val="0015716B"/>
    <w:rsid w:val="0017689C"/>
    <w:rsid w:val="001774FB"/>
    <w:rsid w:val="00183095"/>
    <w:rsid w:val="00196056"/>
    <w:rsid w:val="001B64C2"/>
    <w:rsid w:val="001C07D7"/>
    <w:rsid w:val="001C4CA5"/>
    <w:rsid w:val="001D52F6"/>
    <w:rsid w:val="001F5358"/>
    <w:rsid w:val="002311E4"/>
    <w:rsid w:val="00231910"/>
    <w:rsid w:val="002434E5"/>
    <w:rsid w:val="00243DBB"/>
    <w:rsid w:val="00291388"/>
    <w:rsid w:val="00294863"/>
    <w:rsid w:val="00294DCC"/>
    <w:rsid w:val="002A4E1A"/>
    <w:rsid w:val="002D5F3F"/>
    <w:rsid w:val="003245FC"/>
    <w:rsid w:val="00326F38"/>
    <w:rsid w:val="00362103"/>
    <w:rsid w:val="003B26DC"/>
    <w:rsid w:val="003B78BF"/>
    <w:rsid w:val="003D0110"/>
    <w:rsid w:val="003D631F"/>
    <w:rsid w:val="003D68CD"/>
    <w:rsid w:val="003E585A"/>
    <w:rsid w:val="003F0E78"/>
    <w:rsid w:val="003F1334"/>
    <w:rsid w:val="003F78D9"/>
    <w:rsid w:val="00410C0A"/>
    <w:rsid w:val="00420417"/>
    <w:rsid w:val="00423AF4"/>
    <w:rsid w:val="0044142F"/>
    <w:rsid w:val="00457396"/>
    <w:rsid w:val="004649EC"/>
    <w:rsid w:val="004975FF"/>
    <w:rsid w:val="004B531C"/>
    <w:rsid w:val="004F0F26"/>
    <w:rsid w:val="00512F6B"/>
    <w:rsid w:val="00527227"/>
    <w:rsid w:val="005447BA"/>
    <w:rsid w:val="00572089"/>
    <w:rsid w:val="005A2AA0"/>
    <w:rsid w:val="005C1CED"/>
    <w:rsid w:val="005C3E90"/>
    <w:rsid w:val="00610C4A"/>
    <w:rsid w:val="00623E15"/>
    <w:rsid w:val="00635DC9"/>
    <w:rsid w:val="00652B04"/>
    <w:rsid w:val="00665132"/>
    <w:rsid w:val="00670ECF"/>
    <w:rsid w:val="00675BD8"/>
    <w:rsid w:val="006849E9"/>
    <w:rsid w:val="006C2B43"/>
    <w:rsid w:val="006E4B67"/>
    <w:rsid w:val="00721543"/>
    <w:rsid w:val="0074233A"/>
    <w:rsid w:val="00750726"/>
    <w:rsid w:val="007B15F0"/>
    <w:rsid w:val="007E0D3C"/>
    <w:rsid w:val="007E1E81"/>
    <w:rsid w:val="007E5BE5"/>
    <w:rsid w:val="007E7985"/>
    <w:rsid w:val="008441E4"/>
    <w:rsid w:val="00871891"/>
    <w:rsid w:val="008877B3"/>
    <w:rsid w:val="008C60F0"/>
    <w:rsid w:val="008E2C24"/>
    <w:rsid w:val="00911490"/>
    <w:rsid w:val="00916B7C"/>
    <w:rsid w:val="009535DC"/>
    <w:rsid w:val="00975C8F"/>
    <w:rsid w:val="00977D93"/>
    <w:rsid w:val="0098345B"/>
    <w:rsid w:val="009E476E"/>
    <w:rsid w:val="00A270D6"/>
    <w:rsid w:val="00A340A8"/>
    <w:rsid w:val="00A453EA"/>
    <w:rsid w:val="00A61A2F"/>
    <w:rsid w:val="00A90957"/>
    <w:rsid w:val="00A91D6C"/>
    <w:rsid w:val="00AB4A04"/>
    <w:rsid w:val="00AF7723"/>
    <w:rsid w:val="00B27327"/>
    <w:rsid w:val="00B345A7"/>
    <w:rsid w:val="00B41547"/>
    <w:rsid w:val="00B62D3E"/>
    <w:rsid w:val="00B775E6"/>
    <w:rsid w:val="00B83279"/>
    <w:rsid w:val="00BA1E53"/>
    <w:rsid w:val="00BC33AF"/>
    <w:rsid w:val="00BC5BB1"/>
    <w:rsid w:val="00BE77DA"/>
    <w:rsid w:val="00C14512"/>
    <w:rsid w:val="00C14C81"/>
    <w:rsid w:val="00C74AD5"/>
    <w:rsid w:val="00CB1437"/>
    <w:rsid w:val="00CC7019"/>
    <w:rsid w:val="00CD4723"/>
    <w:rsid w:val="00D118C0"/>
    <w:rsid w:val="00D244B7"/>
    <w:rsid w:val="00D30D2B"/>
    <w:rsid w:val="00D360EF"/>
    <w:rsid w:val="00D72EB9"/>
    <w:rsid w:val="00D7715E"/>
    <w:rsid w:val="00D83B4E"/>
    <w:rsid w:val="00DA6B27"/>
    <w:rsid w:val="00DA6E1B"/>
    <w:rsid w:val="00DC267A"/>
    <w:rsid w:val="00DE17A1"/>
    <w:rsid w:val="00DE4B56"/>
    <w:rsid w:val="00DF0554"/>
    <w:rsid w:val="00E014E8"/>
    <w:rsid w:val="00E01F26"/>
    <w:rsid w:val="00E02045"/>
    <w:rsid w:val="00E20865"/>
    <w:rsid w:val="00E324E1"/>
    <w:rsid w:val="00E47065"/>
    <w:rsid w:val="00E5592F"/>
    <w:rsid w:val="00E80F2D"/>
    <w:rsid w:val="00E86678"/>
    <w:rsid w:val="00ED46D6"/>
    <w:rsid w:val="00ED5B76"/>
    <w:rsid w:val="00F73DAF"/>
    <w:rsid w:val="01C47805"/>
    <w:rsid w:val="030B72EB"/>
    <w:rsid w:val="03932FDF"/>
    <w:rsid w:val="040870D1"/>
    <w:rsid w:val="068C15CD"/>
    <w:rsid w:val="082C592B"/>
    <w:rsid w:val="08A5004A"/>
    <w:rsid w:val="09E7F4B7"/>
    <w:rsid w:val="0EDA7641"/>
    <w:rsid w:val="0F22B7C8"/>
    <w:rsid w:val="1059E6EA"/>
    <w:rsid w:val="11EE5DD1"/>
    <w:rsid w:val="169BC195"/>
    <w:rsid w:val="16D3845C"/>
    <w:rsid w:val="17441F1B"/>
    <w:rsid w:val="17507EBD"/>
    <w:rsid w:val="18F88393"/>
    <w:rsid w:val="19EB0B61"/>
    <w:rsid w:val="1B5476C9"/>
    <w:rsid w:val="2012FE40"/>
    <w:rsid w:val="20D56E83"/>
    <w:rsid w:val="223EB051"/>
    <w:rsid w:val="2572B619"/>
    <w:rsid w:val="26FF0E97"/>
    <w:rsid w:val="27F11A3F"/>
    <w:rsid w:val="2918D223"/>
    <w:rsid w:val="2A10BD9F"/>
    <w:rsid w:val="2A5FC129"/>
    <w:rsid w:val="2AE4E62F"/>
    <w:rsid w:val="2BC21B34"/>
    <w:rsid w:val="2D0B3203"/>
    <w:rsid w:val="2E6BD1EF"/>
    <w:rsid w:val="31162EEB"/>
    <w:rsid w:val="339AAE6D"/>
    <w:rsid w:val="348A3B01"/>
    <w:rsid w:val="3506C04C"/>
    <w:rsid w:val="35E14C85"/>
    <w:rsid w:val="3957AFD8"/>
    <w:rsid w:val="3ED035E9"/>
    <w:rsid w:val="44369BA0"/>
    <w:rsid w:val="44B104AB"/>
    <w:rsid w:val="4605C539"/>
    <w:rsid w:val="488617B7"/>
    <w:rsid w:val="4ABFAA34"/>
    <w:rsid w:val="4C043B2F"/>
    <w:rsid w:val="4D52E2F0"/>
    <w:rsid w:val="50BC2FF6"/>
    <w:rsid w:val="51240A73"/>
    <w:rsid w:val="52BD617C"/>
    <w:rsid w:val="52E4B2FD"/>
    <w:rsid w:val="565F5355"/>
    <w:rsid w:val="57818C95"/>
    <w:rsid w:val="5AE6FA10"/>
    <w:rsid w:val="5C916B9B"/>
    <w:rsid w:val="5CFDDC01"/>
    <w:rsid w:val="5CFE99A9"/>
    <w:rsid w:val="5E93FDC8"/>
    <w:rsid w:val="5FC0D5AB"/>
    <w:rsid w:val="61BB2361"/>
    <w:rsid w:val="62971336"/>
    <w:rsid w:val="6453BDE9"/>
    <w:rsid w:val="65AC860C"/>
    <w:rsid w:val="6630B5E7"/>
    <w:rsid w:val="66B1642D"/>
    <w:rsid w:val="69FE79C9"/>
    <w:rsid w:val="6B770052"/>
    <w:rsid w:val="6BD212F7"/>
    <w:rsid w:val="6F02A170"/>
    <w:rsid w:val="6FB19D5E"/>
    <w:rsid w:val="723DB7D4"/>
    <w:rsid w:val="729551FA"/>
    <w:rsid w:val="72D0AB5C"/>
    <w:rsid w:val="72EDE151"/>
    <w:rsid w:val="74CEBA82"/>
    <w:rsid w:val="74E953E2"/>
    <w:rsid w:val="757EF854"/>
    <w:rsid w:val="75A5F629"/>
    <w:rsid w:val="76BD5AE5"/>
    <w:rsid w:val="776D8D87"/>
    <w:rsid w:val="791AF99E"/>
    <w:rsid w:val="7C69C740"/>
    <w:rsid w:val="7DB605A6"/>
    <w:rsid w:val="7E25F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59AB7"/>
  <w15:chartTrackingRefBased/>
  <w15:docId w15:val="{692593C8-BFD4-BF4E-9FD7-9618AB4F9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72EB9"/>
  </w:style>
  <w:style w:type="paragraph" w:styleId="Heading1">
    <w:name w:val="heading 1"/>
    <w:basedOn w:val="Normal"/>
    <w:next w:val="Normal"/>
    <w:link w:val="Heading1Char"/>
    <w:uiPriority w:val="9"/>
    <w:qFormat/>
    <w:rsid w:val="00D72EB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EB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72EB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72EB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72EB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72EB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72EB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72EB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72EB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72EB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72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EB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72EB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72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EB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72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EB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72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EB9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72EB9"/>
  </w:style>
  <w:style w:type="paragraph" w:styleId="NormalWeb">
    <w:name w:val="Normal (Web)"/>
    <w:basedOn w:val="Normal"/>
    <w:uiPriority w:val="99"/>
    <w:semiHidden/>
    <w:unhideWhenUsed/>
    <w:rsid w:val="00D72EB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Hyperlink">
    <w:uiPriority w:val="99"/>
    <w:name w:val="Hyperlink"/>
    <w:basedOn w:val="DefaultParagraphFont"/>
    <w:unhideWhenUsed/>
    <w:rsid w:val="488617B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https://app.mural.co/t/molecularepidemiologytrainin4592/m/molecularepidemiologytrainin4592/1786380354453/ccec4b60a318dda714e4fb4cd957811f7b542d7d?sender=ue24bffb98161dbbb3bed6938" TargetMode="External" Id="R11325d3e778e401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Ludy Registre Carmola</dc:creator>
  <keywords/>
  <dc:description/>
  <lastModifiedBy>Ludy Registre Carmola</lastModifiedBy>
  <revision>11</revision>
  <dcterms:created xsi:type="dcterms:W3CDTF">2026-06-16T14:08:00.0000000Z</dcterms:created>
  <dcterms:modified xsi:type="dcterms:W3CDTF">2026-08-17T16:14:34.4736939Z</dcterms:modified>
</coreProperties>
</file>