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D2C05" w:rsidR="00EA7F3E" w:rsidP="00EA7F3E" w:rsidRDefault="00EA7F3E" w14:paraId="72CDA99D" w14:textId="69DA36F9">
      <w:pPr>
        <w:spacing w:after="120" w:line="240" w:lineRule="auto"/>
        <w:outlineLvl w:val="0"/>
        <w:rPr>
          <w:rFonts w:ascii="Arial" w:hAnsi="Arial" w:eastAsia="Times New Roman" w:cs="Arial"/>
          <w:b/>
          <w:bCs/>
          <w:color w:val="1F1F1F"/>
          <w:kern w:val="36"/>
          <w:sz w:val="36"/>
          <w:szCs w:val="36"/>
          <w14:ligatures w14:val="none"/>
        </w:rPr>
      </w:pPr>
      <w:r w:rsidRPr="00BD2C05" w:rsidR="737D1199">
        <w:rPr>
          <w:rFonts w:ascii="Arial" w:hAnsi="Arial" w:eastAsia="Times New Roman" w:cs="Arial"/>
          <w:b w:val="1"/>
          <w:bCs w:val="1"/>
          <w:color w:val="1F1F1F"/>
          <w:kern w:val="36"/>
          <w:sz w:val="36"/>
          <w:szCs w:val="36"/>
          <w14:ligatures w14:val="none"/>
        </w:rPr>
        <w:t>Readin</w:t>
      </w:r>
      <w:r w:rsidR="1EDDC5E0">
        <w:rPr>
          <w:rFonts w:ascii="Arial" w:hAnsi="Arial" w:eastAsia="Times New Roman" w:cs="Arial"/>
          <w:b w:val="1"/>
          <w:bCs w:val="1"/>
          <w:color w:val="1F1F1F"/>
          <w:kern w:val="36"/>
          <w:sz w:val="36"/>
          <w:szCs w:val="36"/>
          <w14:ligatures w14:val="none"/>
        </w:rPr>
        <w:t>g</w:t>
      </w:r>
      <w:r w:rsidRPr="00BD2C05" w:rsidR="737D1199">
        <w:rPr>
          <w:rFonts w:ascii="Arial" w:hAnsi="Arial" w:eastAsia="Times New Roman" w:cs="Arial"/>
          <w:b w:val="1"/>
          <w:bCs w:val="1"/>
          <w:color w:val="1F1F1F"/>
          <w:kern w:val="36"/>
          <w:sz w:val="36"/>
          <w:szCs w:val="36"/>
          <w14:ligatures w14:val="none"/>
        </w:rPr>
        <w:t xml:space="preserve"> Guide</w:t>
      </w:r>
    </w:p>
    <w:p w:rsidR="4C7A6F83" w:rsidP="27F2F5E5" w:rsidRDefault="4C7A6F83" w14:paraId="415695BA" w14:textId="2F8092CD">
      <w:pPr>
        <w:spacing w:before="0" w:beforeAutospacing="off" w:after="0" w:afterAutospacing="off"/>
      </w:pPr>
      <w:r w:rsidRPr="27F2F5E5" w:rsidR="4C7A6F83">
        <w:rPr>
          <w:rFonts w:ascii="Arial" w:hAnsi="Arial" w:eastAsia="Arial" w:cs="Arial"/>
          <w:b w:val="1"/>
          <w:bCs w:val="1"/>
          <w:noProof w:val="0"/>
          <w:color w:val="1F1F1F"/>
          <w:sz w:val="24"/>
          <w:szCs w:val="24"/>
          <w:lang w:val="en-US"/>
        </w:rPr>
        <w:t>Paper:</w:t>
      </w:r>
      <w:r w:rsidRPr="27F2F5E5" w:rsidR="4C7A6F83">
        <w:rPr>
          <w:rFonts w:ascii="Arial" w:hAnsi="Arial" w:eastAsia="Arial" w:cs="Arial"/>
          <w:noProof w:val="0"/>
          <w:color w:val="1F1F1F"/>
          <w:sz w:val="24"/>
          <w:szCs w:val="24"/>
          <w:lang w:val="en-US"/>
        </w:rPr>
        <w:t xml:space="preserve"> Cryptic Transmission of SARS-CoV-2 in Washington State (</w:t>
      </w:r>
      <w:r w:rsidRPr="27F2F5E5" w:rsidR="4C7A6F83">
        <w:rPr>
          <w:rFonts w:ascii="Arial" w:hAnsi="Arial" w:eastAsia="Arial" w:cs="Arial"/>
          <w:i w:val="1"/>
          <w:iCs w:val="1"/>
          <w:noProof w:val="0"/>
          <w:color w:val="1F1F1F"/>
          <w:sz w:val="24"/>
          <w:szCs w:val="24"/>
          <w:lang w:val="en-US"/>
        </w:rPr>
        <w:t>Bedford et al., Science, 2020</w:t>
      </w:r>
      <w:r w:rsidRPr="27F2F5E5" w:rsidR="4C7A6F83">
        <w:rPr>
          <w:rFonts w:ascii="Arial" w:hAnsi="Arial" w:eastAsia="Arial" w:cs="Arial"/>
          <w:noProof w:val="0"/>
          <w:color w:val="1F1F1F"/>
          <w:sz w:val="24"/>
          <w:szCs w:val="24"/>
          <w:lang w:val="en-US"/>
        </w:rPr>
        <w:t>)</w:t>
      </w:r>
    </w:p>
    <w:p w:rsidR="27F2F5E5" w:rsidP="27F2F5E5" w:rsidRDefault="27F2F5E5" w14:paraId="059E3945" w14:textId="3C8654CE">
      <w:pPr>
        <w:spacing w:before="0" w:beforeAutospacing="off" w:after="0" w:afterAutospacing="off"/>
      </w:pPr>
    </w:p>
    <w:p w:rsidR="4C7A6F83" w:rsidP="27F2F5E5" w:rsidRDefault="4C7A6F83" w14:paraId="69147116" w14:textId="7C5D31DA">
      <w:pPr>
        <w:pStyle w:val="Heading2"/>
        <w:spacing w:before="0" w:beforeAutospacing="off" w:after="0" w:afterAutospacing="off"/>
      </w:pPr>
      <w:r w:rsidRPr="27F2F5E5" w:rsidR="4C7A6F83">
        <w:rPr>
          <w:rFonts w:ascii="Arial" w:hAnsi="Arial" w:eastAsia="Arial" w:cs="Arial"/>
          <w:b w:val="1"/>
          <w:bCs w:val="1"/>
          <w:noProof w:val="0"/>
          <w:color w:val="1F1F1F"/>
          <w:sz w:val="36"/>
          <w:szCs w:val="36"/>
          <w:lang w:val="en-US"/>
        </w:rPr>
        <w:t>1. Jargon Dictionary</w:t>
      </w:r>
    </w:p>
    <w:p w:rsidR="4C7A6F83" w:rsidP="6A3EFFE9" w:rsidRDefault="4C7A6F83" w14:paraId="5EE9454D" w14:textId="06240FCD">
      <w:pPr>
        <w:spacing w:before="0" w:beforeAutospacing="off" w:after="0" w:afterAutospacing="off"/>
        <w:rPr>
          <w:rFonts w:ascii="Arial" w:hAnsi="Arial" w:eastAsia="Arial" w:cs="Arial"/>
          <w:noProof w:val="0"/>
          <w:color w:val="1F1F1F"/>
          <w:sz w:val="24"/>
          <w:szCs w:val="24"/>
          <w:lang w:val="en-US"/>
        </w:rPr>
      </w:pPr>
      <w:r w:rsidRPr="6A3EFFE9" w:rsidR="10F48027">
        <w:rPr>
          <w:rFonts w:ascii="Arial" w:hAnsi="Arial" w:eastAsia="Arial" w:cs="Arial"/>
          <w:noProof w:val="0"/>
          <w:color w:val="1F1F1F"/>
          <w:sz w:val="24"/>
          <w:szCs w:val="24"/>
          <w:lang w:val="en-US"/>
        </w:rPr>
        <w:t xml:space="preserve">Review these key terms prior to </w:t>
      </w:r>
      <w:r w:rsidRPr="6A3EFFE9" w:rsidR="10169534">
        <w:rPr>
          <w:rFonts w:ascii="Arial" w:hAnsi="Arial" w:eastAsia="Arial" w:cs="Arial"/>
          <w:noProof w:val="0"/>
          <w:color w:val="1F1F1F"/>
          <w:sz w:val="24"/>
          <w:szCs w:val="24"/>
          <w:lang w:val="en-US"/>
        </w:rPr>
        <w:t>read</w:t>
      </w:r>
      <w:r w:rsidRPr="6A3EFFE9" w:rsidR="72AA5D9A">
        <w:rPr>
          <w:rFonts w:ascii="Arial" w:hAnsi="Arial" w:eastAsia="Arial" w:cs="Arial"/>
          <w:noProof w:val="0"/>
          <w:color w:val="1F1F1F"/>
          <w:sz w:val="24"/>
          <w:szCs w:val="24"/>
          <w:lang w:val="en-US"/>
        </w:rPr>
        <w:t>i</w:t>
      </w:r>
      <w:r w:rsidRPr="6A3EFFE9" w:rsidR="10F48027">
        <w:rPr>
          <w:rFonts w:ascii="Arial" w:hAnsi="Arial" w:eastAsia="Arial" w:cs="Arial"/>
          <w:noProof w:val="0"/>
          <w:color w:val="1F1F1F"/>
          <w:sz w:val="24"/>
          <w:szCs w:val="24"/>
          <w:lang w:val="en-US"/>
        </w:rPr>
        <w:t>ng</w:t>
      </w:r>
      <w:r w:rsidRPr="6A3EFFE9" w:rsidR="10F48027">
        <w:rPr>
          <w:rFonts w:ascii="Arial" w:hAnsi="Arial" w:eastAsia="Arial" w:cs="Arial"/>
          <w:noProof w:val="0"/>
          <w:color w:val="1F1F1F"/>
          <w:sz w:val="24"/>
          <w:szCs w:val="24"/>
          <w:lang w:val="en-US"/>
        </w:rPr>
        <w:t xml:space="preserve"> the paper.</w:t>
      </w:r>
    </w:p>
    <w:p w:rsidR="27F2F5E5" w:rsidP="27F2F5E5" w:rsidRDefault="27F2F5E5" w14:paraId="6755D4AE" w14:textId="371C26B7">
      <w:pPr>
        <w:spacing w:before="0" w:beforeAutospacing="off" w:after="0" w:afterAutospacing="off"/>
      </w:pPr>
    </w:p>
    <w:tbl>
      <w:tblPr>
        <w:tblStyle w:val="TableNormal"/>
        <w:bidiVisual w:val="0"/>
        <w:tblW w:w="10929" w:type="dxa"/>
        <w:tblLook w:val="06A0" w:firstRow="1" w:lastRow="0" w:firstColumn="1" w:lastColumn="0" w:noHBand="1" w:noVBand="1"/>
      </w:tblPr>
      <w:tblGrid>
        <w:gridCol w:w="1920"/>
        <w:gridCol w:w="1815"/>
        <w:gridCol w:w="3669"/>
        <w:gridCol w:w="3525"/>
      </w:tblGrid>
      <w:tr w:rsidR="27F2F5E5" w:rsidTr="6A3EFFE9" w14:paraId="537B07E0">
        <w:trPr>
          <w:trHeight w:val="300"/>
        </w:trPr>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2A13ACF9" w14:textId="4C311579">
            <w:pPr>
              <w:spacing w:before="0" w:beforeAutospacing="off" w:after="0" w:afterAutospacing="off"/>
              <w:jc w:val="left"/>
              <w:rPr>
                <w:b w:val="1"/>
                <w:bCs w:val="1"/>
                <w:color w:val="1F1F1F"/>
                <w:sz w:val="20"/>
                <w:szCs w:val="20"/>
              </w:rPr>
            </w:pPr>
            <w:r w:rsidRPr="3828DDE8" w:rsidR="7EDD14F4">
              <w:rPr>
                <w:b w:val="1"/>
                <w:bCs w:val="1"/>
                <w:color w:val="1F1F1F"/>
                <w:sz w:val="22"/>
                <w:szCs w:val="22"/>
              </w:rPr>
              <w:t>Term</w:t>
            </w:r>
          </w:p>
        </w:tc>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09E768D6" w14:textId="6BD8EABF">
            <w:pPr>
              <w:spacing w:before="0" w:beforeAutospacing="off" w:after="0" w:afterAutospacing="off"/>
              <w:jc w:val="left"/>
              <w:rPr>
                <w:b w:val="1"/>
                <w:bCs w:val="1"/>
                <w:color w:val="1F1F1F"/>
                <w:sz w:val="20"/>
                <w:szCs w:val="20"/>
              </w:rPr>
            </w:pPr>
            <w:r w:rsidRPr="3828DDE8" w:rsidR="7EDD14F4">
              <w:rPr>
                <w:b w:val="1"/>
                <w:bCs w:val="1"/>
                <w:color w:val="1F1F1F"/>
                <w:sz w:val="22"/>
                <w:szCs w:val="22"/>
              </w:rPr>
              <w:t>Field of Origin</w:t>
            </w:r>
          </w:p>
        </w:tc>
        <w:tc>
          <w:tcPr>
            <w:tcW w:w="36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1EFE751D" w14:textId="34B283EE">
            <w:pPr>
              <w:spacing w:before="0" w:beforeAutospacing="off" w:after="0" w:afterAutospacing="off"/>
              <w:jc w:val="left"/>
              <w:rPr>
                <w:b w:val="1"/>
                <w:bCs w:val="1"/>
                <w:color w:val="1F1F1F"/>
                <w:sz w:val="20"/>
                <w:szCs w:val="20"/>
              </w:rPr>
            </w:pPr>
            <w:r w:rsidRPr="3828DDE8" w:rsidR="7EDD14F4">
              <w:rPr>
                <w:b w:val="1"/>
                <w:bCs w:val="1"/>
                <w:color w:val="1F1F1F"/>
                <w:sz w:val="22"/>
                <w:szCs w:val="22"/>
              </w:rPr>
              <w:t>Plain-Language Definition</w:t>
            </w:r>
          </w:p>
        </w:tc>
        <w:tc>
          <w:tcPr>
            <w:tcW w:w="35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7A9D7DF5" w14:textId="15B44391">
            <w:pPr>
              <w:spacing w:before="0" w:beforeAutospacing="off" w:after="0" w:afterAutospacing="off"/>
              <w:jc w:val="left"/>
              <w:rPr>
                <w:b w:val="1"/>
                <w:bCs w:val="1"/>
                <w:color w:val="1F1F1F"/>
                <w:sz w:val="20"/>
                <w:szCs w:val="20"/>
              </w:rPr>
            </w:pPr>
            <w:r w:rsidRPr="3828DDE8" w:rsidR="7EDD14F4">
              <w:rPr>
                <w:b w:val="1"/>
                <w:bCs w:val="1"/>
                <w:color w:val="1F1F1F"/>
                <w:sz w:val="22"/>
                <w:szCs w:val="22"/>
              </w:rPr>
              <w:t>Public Health Relevance</w:t>
            </w:r>
          </w:p>
        </w:tc>
      </w:tr>
      <w:tr w:rsidR="27F2F5E5" w:rsidTr="6A3EFFE9" w14:paraId="7CBB929A">
        <w:trPr>
          <w:trHeight w:val="300"/>
        </w:trPr>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1BE388E9" w14:textId="7C8166BC">
            <w:pPr>
              <w:spacing w:before="0" w:beforeAutospacing="off" w:after="0" w:afterAutospacing="off"/>
              <w:jc w:val="left"/>
              <w:rPr>
                <w:b w:val="1"/>
                <w:bCs w:val="1"/>
                <w:color w:val="1F1F1F"/>
                <w:sz w:val="20"/>
                <w:szCs w:val="20"/>
              </w:rPr>
            </w:pPr>
            <w:r w:rsidRPr="3828DDE8" w:rsidR="7EDD14F4">
              <w:rPr>
                <w:b w:val="1"/>
                <w:bCs w:val="1"/>
                <w:color w:val="1F1F1F"/>
                <w:sz w:val="22"/>
                <w:szCs w:val="22"/>
              </w:rPr>
              <w:t>Cryptic Transmission</w:t>
            </w:r>
          </w:p>
        </w:tc>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11B6155C" w14:textId="491BD37B">
            <w:pPr>
              <w:spacing w:before="0" w:beforeAutospacing="off" w:after="0" w:afterAutospacing="off"/>
              <w:jc w:val="left"/>
              <w:rPr>
                <w:color w:val="1F1F1F"/>
                <w:sz w:val="20"/>
                <w:szCs w:val="20"/>
              </w:rPr>
            </w:pPr>
            <w:r w:rsidRPr="3828DDE8" w:rsidR="7EDD14F4">
              <w:rPr>
                <w:color w:val="1F1F1F"/>
                <w:sz w:val="22"/>
                <w:szCs w:val="22"/>
              </w:rPr>
              <w:t>Epidemiology</w:t>
            </w:r>
          </w:p>
        </w:tc>
        <w:tc>
          <w:tcPr>
            <w:tcW w:w="36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07163B28" w14:textId="0AF4AFC4">
            <w:pPr>
              <w:spacing w:before="0" w:beforeAutospacing="off" w:after="0" w:afterAutospacing="off"/>
              <w:jc w:val="left"/>
              <w:rPr>
                <w:color w:val="1F1F1F"/>
                <w:sz w:val="20"/>
                <w:szCs w:val="20"/>
              </w:rPr>
            </w:pPr>
            <w:r w:rsidRPr="3828DDE8" w:rsidR="7EDD14F4">
              <w:rPr>
                <w:color w:val="1F1F1F"/>
                <w:sz w:val="22"/>
                <w:szCs w:val="22"/>
              </w:rPr>
              <w:t>Undetected community spread of an infectious disease occurring beneath the radar of public health surveillance systems.</w:t>
            </w:r>
          </w:p>
        </w:tc>
        <w:tc>
          <w:tcPr>
            <w:tcW w:w="35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578CFC10" w14:textId="1CF2EA22">
            <w:pPr>
              <w:spacing w:before="0" w:beforeAutospacing="off" w:after="0" w:afterAutospacing="off"/>
              <w:jc w:val="left"/>
              <w:rPr>
                <w:color w:val="1F1F1F"/>
                <w:sz w:val="20"/>
                <w:szCs w:val="20"/>
              </w:rPr>
            </w:pPr>
            <w:r w:rsidRPr="3828DDE8" w:rsidR="7EDD14F4">
              <w:rPr>
                <w:color w:val="1F1F1F"/>
                <w:sz w:val="22"/>
                <w:szCs w:val="22"/>
              </w:rPr>
              <w:t>Demonstrates major blind spots in traditional testing regimes that rely strictly on travel history or narrow clinical criteria during an emerging outbreak.</w:t>
            </w:r>
          </w:p>
        </w:tc>
      </w:tr>
      <w:tr w:rsidR="27F2F5E5" w:rsidTr="6A3EFFE9" w14:paraId="395F9F54">
        <w:trPr>
          <w:trHeight w:val="1890"/>
        </w:trPr>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275E5434" w14:textId="69B504F1">
            <w:pPr>
              <w:spacing w:before="0" w:beforeAutospacing="off" w:after="0" w:afterAutospacing="off"/>
              <w:jc w:val="left"/>
              <w:rPr>
                <w:b w:val="1"/>
                <w:bCs w:val="1"/>
                <w:color w:val="1F1F1F"/>
                <w:sz w:val="20"/>
                <w:szCs w:val="20"/>
              </w:rPr>
            </w:pPr>
            <w:r w:rsidRPr="3828DDE8" w:rsidR="7EDD14F4">
              <w:rPr>
                <w:b w:val="1"/>
                <w:bCs w:val="1"/>
                <w:color w:val="1F1F1F"/>
                <w:sz w:val="22"/>
                <w:szCs w:val="22"/>
              </w:rPr>
              <w:t>Phylodynamics</w:t>
            </w:r>
          </w:p>
        </w:tc>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4381D300" w14:textId="453130FF">
            <w:pPr>
              <w:spacing w:before="0" w:beforeAutospacing="off" w:after="0" w:afterAutospacing="off"/>
              <w:jc w:val="left"/>
              <w:rPr>
                <w:color w:val="1F1F1F"/>
                <w:sz w:val="20"/>
                <w:szCs w:val="20"/>
              </w:rPr>
            </w:pPr>
            <w:r w:rsidRPr="3828DDE8" w:rsidR="7EDD14F4">
              <w:rPr>
                <w:color w:val="1F1F1F"/>
                <w:sz w:val="22"/>
                <w:szCs w:val="22"/>
              </w:rPr>
              <w:t>Computational Biology</w:t>
            </w:r>
          </w:p>
        </w:tc>
        <w:tc>
          <w:tcPr>
            <w:tcW w:w="36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450702CC" w14:textId="43DCAD7C">
            <w:pPr>
              <w:spacing w:before="0" w:beforeAutospacing="off" w:after="0" w:afterAutospacing="off"/>
              <w:jc w:val="left"/>
              <w:rPr>
                <w:color w:val="1F1F1F"/>
                <w:sz w:val="20"/>
                <w:szCs w:val="20"/>
              </w:rPr>
            </w:pPr>
            <w:r w:rsidRPr="3828DDE8" w:rsidR="7EDD14F4">
              <w:rPr>
                <w:color w:val="1F1F1F"/>
                <w:sz w:val="22"/>
                <w:szCs w:val="22"/>
              </w:rPr>
              <w:t>An analytical approach that uses the structure of viral evolutionary trees (phylogenies) to estimate epidemic parameters like growth rates and population size.</w:t>
            </w:r>
          </w:p>
        </w:tc>
        <w:tc>
          <w:tcPr>
            <w:tcW w:w="35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173BEE37" w14:textId="623F4691">
            <w:pPr>
              <w:spacing w:before="0" w:beforeAutospacing="off" w:after="0" w:afterAutospacing="off"/>
              <w:jc w:val="left"/>
              <w:rPr>
                <w:color w:val="1F1F1F"/>
                <w:sz w:val="20"/>
                <w:szCs w:val="20"/>
              </w:rPr>
            </w:pPr>
            <w:r w:rsidRPr="3828DDE8" w:rsidR="7EDD14F4">
              <w:rPr>
                <w:color w:val="1F1F1F"/>
                <w:sz w:val="22"/>
                <w:szCs w:val="22"/>
              </w:rPr>
              <w:t>Allows researchers to reconstruct how fast and how widely a virus is spreading using genetic sequences alone, even when case counting is severely incomplete.</w:t>
            </w:r>
          </w:p>
        </w:tc>
      </w:tr>
      <w:tr w:rsidR="27F2F5E5" w:rsidTr="6A3EFFE9" w14:paraId="6905ADC0">
        <w:trPr>
          <w:trHeight w:val="300"/>
        </w:trPr>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42FBD2C9" w14:textId="7422AD25">
            <w:pPr>
              <w:spacing w:before="0" w:beforeAutospacing="off" w:after="0" w:afterAutospacing="off"/>
              <w:jc w:val="left"/>
              <w:rPr>
                <w:b w:val="1"/>
                <w:bCs w:val="1"/>
                <w:color w:val="1F1F1F"/>
                <w:sz w:val="20"/>
                <w:szCs w:val="20"/>
              </w:rPr>
            </w:pPr>
            <w:r w:rsidRPr="3828DDE8" w:rsidR="7EDD14F4">
              <w:rPr>
                <w:b w:val="1"/>
                <w:bCs w:val="1"/>
                <w:color w:val="1F1F1F"/>
                <w:sz w:val="22"/>
                <w:szCs w:val="22"/>
              </w:rPr>
              <w:t>Molecular Clock Rate</w:t>
            </w:r>
          </w:p>
        </w:tc>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50917DD7" w14:textId="2B0A49BB">
            <w:pPr>
              <w:spacing w:before="0" w:beforeAutospacing="off" w:after="0" w:afterAutospacing="off"/>
              <w:jc w:val="left"/>
              <w:rPr>
                <w:color w:val="1F1F1F"/>
                <w:sz w:val="20"/>
                <w:szCs w:val="20"/>
              </w:rPr>
            </w:pPr>
            <w:r w:rsidRPr="3828DDE8" w:rsidR="7EDD14F4">
              <w:rPr>
                <w:color w:val="1F1F1F"/>
                <w:sz w:val="22"/>
                <w:szCs w:val="22"/>
              </w:rPr>
              <w:t>Evolutionary Genetics</w:t>
            </w:r>
          </w:p>
        </w:tc>
        <w:tc>
          <w:tcPr>
            <w:tcW w:w="36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753D1020" w14:textId="7F9FEBAC">
            <w:pPr>
              <w:spacing w:before="0" w:beforeAutospacing="off" w:after="0" w:afterAutospacing="off"/>
              <w:jc w:val="left"/>
              <w:rPr>
                <w:color w:val="1F1F1F"/>
                <w:sz w:val="20"/>
                <w:szCs w:val="20"/>
              </w:rPr>
            </w:pPr>
            <w:r w:rsidRPr="3828DDE8" w:rsidR="7EDD14F4">
              <w:rPr>
                <w:color w:val="1F1F1F"/>
                <w:sz w:val="22"/>
                <w:szCs w:val="22"/>
              </w:rPr>
              <w:t>The average rate at which a virus accumulates random genetic mutations (SNVs/SNPs) over time as it replicates.</w:t>
            </w:r>
          </w:p>
        </w:tc>
        <w:tc>
          <w:tcPr>
            <w:tcW w:w="35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49E0C381" w14:textId="5CAD98AE">
            <w:pPr>
              <w:spacing w:before="0" w:beforeAutospacing="off" w:after="0" w:afterAutospacing="off"/>
              <w:jc w:val="left"/>
              <w:rPr>
                <w:color w:val="1F1F1F"/>
                <w:sz w:val="20"/>
                <w:szCs w:val="20"/>
              </w:rPr>
            </w:pPr>
            <w:r w:rsidRPr="3828DDE8" w:rsidR="7EDD14F4">
              <w:rPr>
                <w:color w:val="1F1F1F"/>
                <w:sz w:val="22"/>
                <w:szCs w:val="22"/>
              </w:rPr>
              <w:t>Enables scientists to estimate when two viral samples diverged from a common ancestor, effectively dating the time a virus entered a new population.</w:t>
            </w:r>
          </w:p>
        </w:tc>
      </w:tr>
      <w:tr w:rsidR="27F2F5E5" w:rsidTr="6A3EFFE9" w14:paraId="59AA7BD2">
        <w:trPr>
          <w:trHeight w:val="300"/>
        </w:trPr>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5E3FD367" w14:textId="04B32A8A">
            <w:pPr>
              <w:spacing w:before="0" w:beforeAutospacing="off" w:after="0" w:afterAutospacing="off"/>
              <w:jc w:val="left"/>
              <w:rPr>
                <w:b w:val="1"/>
                <w:bCs w:val="1"/>
                <w:color w:val="1F1F1F"/>
                <w:sz w:val="20"/>
                <w:szCs w:val="20"/>
              </w:rPr>
            </w:pPr>
            <w:r w:rsidRPr="3828DDE8" w:rsidR="7EDD14F4">
              <w:rPr>
                <w:b w:val="1"/>
                <w:bCs w:val="1"/>
                <w:color w:val="1F1F1F"/>
                <w:sz w:val="22"/>
                <w:szCs w:val="22"/>
              </w:rPr>
              <w:t>Coalescent Theory</w:t>
            </w:r>
          </w:p>
        </w:tc>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7B0B1404" w14:textId="2811D27F">
            <w:pPr>
              <w:spacing w:before="0" w:beforeAutospacing="off" w:after="0" w:afterAutospacing="off"/>
              <w:jc w:val="left"/>
              <w:rPr>
                <w:color w:val="1F1F1F"/>
                <w:sz w:val="20"/>
                <w:szCs w:val="20"/>
              </w:rPr>
            </w:pPr>
            <w:r w:rsidRPr="3828DDE8" w:rsidR="7EDD14F4">
              <w:rPr>
                <w:color w:val="1F1F1F"/>
                <w:sz w:val="22"/>
                <w:szCs w:val="22"/>
              </w:rPr>
              <w:t>Mathematical Population Genetics</w:t>
            </w:r>
          </w:p>
        </w:tc>
        <w:tc>
          <w:tcPr>
            <w:tcW w:w="36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6A9955B4" w14:textId="433DAA72">
            <w:pPr>
              <w:spacing w:before="0" w:beforeAutospacing="off" w:after="0" w:afterAutospacing="off"/>
              <w:jc w:val="left"/>
              <w:rPr>
                <w:color w:val="1F1F1F"/>
                <w:sz w:val="20"/>
                <w:szCs w:val="20"/>
              </w:rPr>
            </w:pPr>
            <w:r w:rsidRPr="3828DDE8" w:rsidR="7EDD14F4">
              <w:rPr>
                <w:color w:val="1F1F1F"/>
                <w:sz w:val="22"/>
                <w:szCs w:val="22"/>
              </w:rPr>
              <w:t>A mathematical model that traces genetic lineages backward in time to their Most Recent Common Ancestor (MRCA).</w:t>
            </w:r>
          </w:p>
        </w:tc>
        <w:tc>
          <w:tcPr>
            <w:tcW w:w="35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5A839602" w14:textId="1C10E264">
            <w:pPr>
              <w:spacing w:before="0" w:beforeAutospacing="off" w:after="0" w:afterAutospacing="off"/>
              <w:jc w:val="left"/>
              <w:rPr>
                <w:color w:val="1F1F1F"/>
                <w:sz w:val="20"/>
                <w:szCs w:val="20"/>
              </w:rPr>
            </w:pPr>
            <w:r w:rsidRPr="3828DDE8" w:rsidR="7EDD14F4">
              <w:rPr>
                <w:color w:val="1F1F1F"/>
                <w:sz w:val="22"/>
                <w:szCs w:val="22"/>
              </w:rPr>
              <w:t>Used to estimate doubling times and effective population sizes ($N_e$) by measuring how frequently ancestral lineages merge in a phylogenetic tree.</w:t>
            </w:r>
          </w:p>
        </w:tc>
      </w:tr>
      <w:tr w:rsidR="27F2F5E5" w:rsidTr="6A3EFFE9" w14:paraId="50AD2754">
        <w:trPr>
          <w:trHeight w:val="1680"/>
        </w:trPr>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709A65BC" w14:textId="7F9A102E">
            <w:pPr>
              <w:spacing w:before="0" w:beforeAutospacing="off" w:after="0" w:afterAutospacing="off"/>
              <w:jc w:val="left"/>
              <w:rPr>
                <w:b w:val="1"/>
                <w:bCs w:val="1"/>
                <w:color w:val="1F1F1F"/>
                <w:sz w:val="20"/>
                <w:szCs w:val="20"/>
              </w:rPr>
            </w:pPr>
            <w:r w:rsidRPr="3828DDE8" w:rsidR="7EDD14F4">
              <w:rPr>
                <w:b w:val="1"/>
                <w:bCs w:val="1"/>
                <w:color w:val="1F1F1F"/>
                <w:sz w:val="22"/>
                <w:szCs w:val="22"/>
              </w:rPr>
              <w:t>Syndromic / Community Surveillance</w:t>
            </w:r>
          </w:p>
        </w:tc>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63707C38" w14:textId="636357F4">
            <w:pPr>
              <w:spacing w:before="0" w:beforeAutospacing="off" w:after="0" w:afterAutospacing="off"/>
              <w:jc w:val="left"/>
              <w:rPr>
                <w:color w:val="1F1F1F"/>
                <w:sz w:val="20"/>
                <w:szCs w:val="20"/>
              </w:rPr>
            </w:pPr>
            <w:r w:rsidRPr="3828DDE8" w:rsidR="7EDD14F4">
              <w:rPr>
                <w:color w:val="1F1F1F"/>
                <w:sz w:val="22"/>
                <w:szCs w:val="22"/>
              </w:rPr>
              <w:t>Public Health / Disease Surveillance</w:t>
            </w:r>
          </w:p>
        </w:tc>
        <w:tc>
          <w:tcPr>
            <w:tcW w:w="36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615752BC" w14:textId="05506C6A">
            <w:pPr>
              <w:spacing w:before="0" w:beforeAutospacing="off" w:after="0" w:afterAutospacing="off"/>
              <w:jc w:val="left"/>
              <w:rPr>
                <w:color w:val="1F1F1F"/>
                <w:sz w:val="20"/>
                <w:szCs w:val="20"/>
              </w:rPr>
            </w:pPr>
            <w:r w:rsidRPr="3828DDE8" w:rsidR="7EDD14F4">
              <w:rPr>
                <w:color w:val="1F1F1F"/>
                <w:sz w:val="22"/>
                <w:szCs w:val="22"/>
              </w:rPr>
              <w:t>Systematically testing samples collected from broad community settings (e.g., flu monitoring programs) rather than only testing patients in hospitals.</w:t>
            </w:r>
          </w:p>
        </w:tc>
        <w:tc>
          <w:tcPr>
            <w:tcW w:w="35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2A5E4BC1" w14:textId="3BC369AD">
            <w:pPr>
              <w:spacing w:before="0" w:beforeAutospacing="off" w:after="0" w:afterAutospacing="off"/>
              <w:jc w:val="left"/>
              <w:rPr>
                <w:color w:val="1F1F1F"/>
                <w:sz w:val="20"/>
                <w:szCs w:val="20"/>
              </w:rPr>
            </w:pPr>
            <w:r w:rsidRPr="3828DDE8" w:rsidR="7EDD14F4">
              <w:rPr>
                <w:color w:val="1F1F1F"/>
                <w:sz w:val="22"/>
                <w:szCs w:val="22"/>
              </w:rPr>
              <w:t>Serves as an early-warning system capable of detecting novel pathogens before travel-restricted clinical guidelines are updated.</w:t>
            </w:r>
          </w:p>
        </w:tc>
      </w:tr>
      <w:tr w:rsidR="27F2F5E5" w:rsidTr="6A3EFFE9" w14:paraId="6B094B6B">
        <w:trPr>
          <w:trHeight w:val="300"/>
        </w:trPr>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2A02B243" w14:textId="3F3B3EB1">
            <w:pPr>
              <w:spacing w:before="0" w:beforeAutospacing="off" w:after="0" w:afterAutospacing="off"/>
              <w:jc w:val="left"/>
              <w:rPr>
                <w:b w:val="1"/>
                <w:bCs w:val="1"/>
                <w:color w:val="1F1F1F"/>
                <w:sz w:val="20"/>
                <w:szCs w:val="20"/>
              </w:rPr>
            </w:pPr>
            <w:r w:rsidRPr="3828DDE8" w:rsidR="7EDD14F4">
              <w:rPr>
                <w:b w:val="1"/>
                <w:bCs w:val="1"/>
                <w:color w:val="1F1F1F"/>
                <w:sz w:val="22"/>
                <w:szCs w:val="22"/>
              </w:rPr>
              <w:t>GISAID &amp; Nextstrain</w:t>
            </w:r>
          </w:p>
        </w:tc>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6D281CDC" w14:textId="770A5911">
            <w:pPr>
              <w:spacing w:before="0" w:beforeAutospacing="off" w:after="0" w:afterAutospacing="off"/>
              <w:jc w:val="left"/>
              <w:rPr>
                <w:color w:val="1F1F1F"/>
                <w:sz w:val="20"/>
                <w:szCs w:val="20"/>
              </w:rPr>
            </w:pPr>
            <w:r w:rsidRPr="3828DDE8" w:rsidR="7EDD14F4">
              <w:rPr>
                <w:color w:val="1F1F1F"/>
                <w:sz w:val="22"/>
                <w:szCs w:val="22"/>
              </w:rPr>
              <w:t>Bioinformatics / Global Health</w:t>
            </w:r>
          </w:p>
        </w:tc>
        <w:tc>
          <w:tcPr>
            <w:tcW w:w="36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36333707" w14:textId="4EB8F603">
            <w:pPr>
              <w:spacing w:before="0" w:beforeAutospacing="off" w:after="0" w:afterAutospacing="off"/>
              <w:jc w:val="left"/>
              <w:rPr>
                <w:color w:val="1F1F1F"/>
                <w:sz w:val="20"/>
                <w:szCs w:val="20"/>
              </w:rPr>
            </w:pPr>
            <w:r w:rsidRPr="3828DDE8" w:rsidR="7EDD14F4">
              <w:rPr>
                <w:color w:val="1F1F1F"/>
                <w:sz w:val="22"/>
                <w:szCs w:val="22"/>
              </w:rPr>
              <w:t>Open-access repositories and real-time visualization tools used worldwide to share and analyze viral genomic data.</w:t>
            </w:r>
          </w:p>
        </w:tc>
        <w:tc>
          <w:tcPr>
            <w:tcW w:w="35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top"/>
          </w:tcPr>
          <w:p w:rsidR="27F2F5E5" w:rsidP="3828DDE8" w:rsidRDefault="27F2F5E5" w14:paraId="3C76A2E4" w14:textId="115CFEA9">
            <w:pPr>
              <w:spacing w:before="0" w:beforeAutospacing="off" w:after="0" w:afterAutospacing="off"/>
              <w:jc w:val="left"/>
              <w:rPr>
                <w:color w:val="1F1F1F"/>
                <w:sz w:val="20"/>
                <w:szCs w:val="20"/>
              </w:rPr>
            </w:pPr>
            <w:r w:rsidRPr="3828DDE8" w:rsidR="7EDD14F4">
              <w:rPr>
                <w:color w:val="1F1F1F"/>
                <w:sz w:val="22"/>
                <w:szCs w:val="22"/>
              </w:rPr>
              <w:t>Enables rapid global collaboration, allowing researchers to compare local outbreak sequences against worldwide viral lineages in real time.</w:t>
            </w:r>
          </w:p>
        </w:tc>
      </w:tr>
    </w:tbl>
    <w:p w:rsidR="27F2F5E5" w:rsidP="6A3EFFE9" w:rsidRDefault="27F2F5E5" w14:paraId="232BE231" w14:textId="7EAED8D8">
      <w:pPr>
        <w:pStyle w:val="Heading2"/>
        <w:bidi w:val="0"/>
        <w:spacing w:before="0" w:beforeAutospacing="off" w:after="0" w:afterAutospacing="off"/>
        <w:rPr>
          <w:rFonts w:ascii="Arial" w:hAnsi="Arial" w:eastAsia="Arial" w:cs="Arial"/>
          <w:b w:val="1"/>
          <w:bCs w:val="1"/>
          <w:noProof w:val="0"/>
          <w:color w:val="1F1F1F"/>
          <w:sz w:val="36"/>
          <w:szCs w:val="36"/>
          <w:lang w:val="en-US"/>
        </w:rPr>
      </w:pPr>
      <w:r w:rsidRPr="6A3EFFE9" w:rsidR="10F48027">
        <w:rPr>
          <w:rFonts w:ascii="Arial" w:hAnsi="Arial" w:eastAsia="Arial" w:cs="Arial"/>
          <w:b w:val="1"/>
          <w:bCs w:val="1"/>
          <w:noProof w:val="0"/>
          <w:color w:val="1F1F1F"/>
          <w:sz w:val="36"/>
          <w:szCs w:val="36"/>
          <w:lang w:val="en-US"/>
        </w:rPr>
        <w:t xml:space="preserve">2. </w:t>
      </w:r>
      <w:r w:rsidRPr="6A3EFFE9" w:rsidR="1AA0D92E">
        <w:rPr>
          <w:rFonts w:ascii="Arial" w:hAnsi="Arial" w:eastAsia="Arial" w:cs="Arial"/>
          <w:b w:val="1"/>
          <w:bCs w:val="1"/>
          <w:noProof w:val="0"/>
          <w:color w:val="1F1F1F"/>
          <w:sz w:val="36"/>
          <w:szCs w:val="36"/>
          <w:lang w:val="en-US"/>
        </w:rPr>
        <w:t>Plain language summary</w:t>
      </w:r>
    </w:p>
    <w:p w:rsidR="27F2F5E5" w:rsidP="4E6461AB" w:rsidRDefault="27F2F5E5" w14:paraId="5D5617B4" w14:textId="65D3D825">
      <w:pPr>
        <w:pStyle w:val="Normal"/>
        <w:bidi w:val="0"/>
        <w:spacing w:before="240" w:beforeAutospacing="off"/>
        <w:rPr>
          <w:rFonts w:ascii="Arial" w:hAnsi="Arial" w:eastAsia="Arial" w:cs="Arial"/>
          <w:noProof w:val="0"/>
          <w:lang w:val="en-US"/>
        </w:rPr>
      </w:pPr>
      <w:r w:rsidRPr="4E6461AB" w:rsidR="0F70E285">
        <w:rPr>
          <w:rFonts w:ascii="Arial" w:hAnsi="Arial" w:eastAsia="Arial" w:cs="Arial"/>
          <w:noProof w:val="0"/>
          <w:lang w:val="en-US"/>
        </w:rPr>
        <w:t xml:space="preserve">In January 2020, public health officials in Washington State </w:t>
      </w:r>
      <w:r w:rsidRPr="4E6461AB" w:rsidR="0F70E285">
        <w:rPr>
          <w:rFonts w:ascii="Arial" w:hAnsi="Arial" w:eastAsia="Arial" w:cs="Arial"/>
          <w:noProof w:val="0"/>
          <w:lang w:val="en-US"/>
        </w:rPr>
        <w:t>identified</w:t>
      </w:r>
      <w:r w:rsidRPr="4E6461AB" w:rsidR="0F70E285">
        <w:rPr>
          <w:rFonts w:ascii="Arial" w:hAnsi="Arial" w:eastAsia="Arial" w:cs="Arial"/>
          <w:noProof w:val="0"/>
          <w:lang w:val="en-US"/>
        </w:rPr>
        <w:t xml:space="preserve"> the first confirmed COVID-19 case in the United States, a traveler returning from Wuhan, China. At the time, federal guidelines restricted testing </w:t>
      </w:r>
      <w:r w:rsidRPr="4E6461AB" w:rsidR="0F70E285">
        <w:rPr>
          <w:rFonts w:ascii="Arial" w:hAnsi="Arial" w:eastAsia="Arial" w:cs="Arial"/>
          <w:noProof w:val="0"/>
          <w:lang w:val="en-US"/>
        </w:rPr>
        <w:t>almost exclusively</w:t>
      </w:r>
      <w:r w:rsidRPr="4E6461AB" w:rsidR="0F70E285">
        <w:rPr>
          <w:rFonts w:ascii="Arial" w:hAnsi="Arial" w:eastAsia="Arial" w:cs="Arial"/>
          <w:noProof w:val="0"/>
          <w:lang w:val="en-US"/>
        </w:rPr>
        <w:t xml:space="preserve"> to individuals with recent travel history to outbreak hot spots or known exposure to an infected person. Because the </w:t>
      </w:r>
      <w:r w:rsidRPr="4E6461AB" w:rsidR="0F70E285">
        <w:rPr>
          <w:rFonts w:ascii="Arial" w:hAnsi="Arial" w:eastAsia="Arial" w:cs="Arial"/>
          <w:noProof w:val="0"/>
          <w:lang w:val="en-US"/>
        </w:rPr>
        <w:t>initial</w:t>
      </w:r>
      <w:r w:rsidRPr="4E6461AB" w:rsidR="0F70E285">
        <w:rPr>
          <w:rFonts w:ascii="Arial" w:hAnsi="Arial" w:eastAsia="Arial" w:cs="Arial"/>
          <w:noProof w:val="0"/>
          <w:lang w:val="en-US"/>
        </w:rPr>
        <w:t xml:space="preserve"> patient was isolated and no other travel-related cases </w:t>
      </w:r>
      <w:r w:rsidRPr="4E6461AB" w:rsidR="0F70E285">
        <w:rPr>
          <w:rFonts w:ascii="Arial" w:hAnsi="Arial" w:eastAsia="Arial" w:cs="Arial"/>
          <w:noProof w:val="0"/>
          <w:lang w:val="en-US"/>
        </w:rPr>
        <w:t>immediately</w:t>
      </w:r>
      <w:r w:rsidRPr="4E6461AB" w:rsidR="0F70E285">
        <w:rPr>
          <w:rFonts w:ascii="Arial" w:hAnsi="Arial" w:eastAsia="Arial" w:cs="Arial"/>
          <w:noProof w:val="0"/>
          <w:lang w:val="en-US"/>
        </w:rPr>
        <w:t xml:space="preserve"> appeared, health authorities presumed the virus had been successfully </w:t>
      </w:r>
      <w:r w:rsidRPr="4E6461AB" w:rsidR="0F70E285">
        <w:rPr>
          <w:rFonts w:ascii="Arial" w:hAnsi="Arial" w:eastAsia="Arial" w:cs="Arial"/>
          <w:noProof w:val="0"/>
          <w:lang w:val="en-US"/>
        </w:rPr>
        <w:t>contained</w:t>
      </w:r>
      <w:r w:rsidRPr="4E6461AB" w:rsidR="0F70E285">
        <w:rPr>
          <w:rFonts w:ascii="Arial" w:hAnsi="Arial" w:eastAsia="Arial" w:cs="Arial"/>
          <w:noProof w:val="0"/>
          <w:lang w:val="en-US"/>
        </w:rPr>
        <w:t>.</w:t>
      </w:r>
    </w:p>
    <w:p w:rsidR="27F2F5E5" w:rsidP="6A3EFFE9" w:rsidRDefault="27F2F5E5" w14:paraId="057BA675" w14:textId="228A1159">
      <w:pPr>
        <w:pStyle w:val="Normal"/>
        <w:bidi w:val="0"/>
        <w:spacing w:before="0" w:beforeAutospacing="off" w:after="0" w:afterAutospacing="off"/>
        <w:rPr>
          <w:rFonts w:ascii="Arial" w:hAnsi="Arial" w:eastAsia="Arial" w:cs="Arial"/>
          <w:noProof w:val="0"/>
          <w:lang w:val="en-US"/>
        </w:rPr>
      </w:pPr>
      <w:r w:rsidRPr="6A3EFFE9" w:rsidR="1AA0D92E">
        <w:rPr>
          <w:rFonts w:ascii="Arial" w:hAnsi="Arial" w:eastAsia="Arial" w:cs="Arial"/>
          <w:noProof w:val="0"/>
          <w:lang w:val="en-US"/>
        </w:rPr>
        <w:t>In late February, however, researchers participating in a regional flu monitoring initiative (the Seattle Flu Study) tested a local teenager with respiratory symptoms who had not traveled abroad. When scientists decoded the full genetic sequence of the virus from this new patient, they discovered it shared a unique, highly specific pattern of genetic changes with the virus from the original traveler six weeks prior. By comparing hundreds of viral samples collected across the region, the researchers demonstrated that the vast majority of local infections belonged to the exact same viral family branch, directly descending from that initial January case.</w:t>
      </w:r>
    </w:p>
    <w:p w:rsidR="27F2F5E5" w:rsidP="6A3EFFE9" w:rsidRDefault="27F2F5E5" w14:paraId="7425E618" w14:textId="7FD1C2AA">
      <w:pPr>
        <w:pStyle w:val="Normal"/>
        <w:bidi w:val="0"/>
        <w:spacing w:before="0" w:beforeAutospacing="off" w:after="0" w:afterAutospacing="off"/>
        <w:rPr>
          <w:rFonts w:ascii="Arial" w:hAnsi="Arial" w:eastAsia="Arial" w:cs="Arial"/>
          <w:noProof w:val="0"/>
          <w:lang w:val="en-US"/>
        </w:rPr>
      </w:pPr>
      <w:r w:rsidRPr="6A3EFFE9" w:rsidR="1AA0D92E">
        <w:rPr>
          <w:rFonts w:ascii="Arial" w:hAnsi="Arial" w:eastAsia="Arial" w:cs="Arial"/>
          <w:noProof w:val="0"/>
          <w:lang w:val="en-US"/>
        </w:rPr>
        <w:t xml:space="preserve">This genetic link proved that the virus had been spreading quietly from person to person within the community for six weeks, completely undetected by traditional health monitoring systems. By calculating how rapidly the viral family tree was branching over time, the researchers estimated that cases were doubling every 2 to 5 days. Consequently, while official reports listed only a tiny handful of confirmed cases in late February, the genetic evidence </w:t>
      </w:r>
      <w:r w:rsidRPr="6A3EFFE9" w:rsidR="1AA0D92E">
        <w:rPr>
          <w:rFonts w:ascii="Arial" w:hAnsi="Arial" w:eastAsia="Arial" w:cs="Arial"/>
          <w:noProof w:val="0"/>
          <w:lang w:val="en-US"/>
        </w:rPr>
        <w:t>indicated</w:t>
      </w:r>
      <w:r w:rsidRPr="6A3EFFE9" w:rsidR="1AA0D92E">
        <w:rPr>
          <w:rFonts w:ascii="Arial" w:hAnsi="Arial" w:eastAsia="Arial" w:cs="Arial"/>
          <w:noProof w:val="0"/>
          <w:lang w:val="en-US"/>
        </w:rPr>
        <w:t xml:space="preserve"> that hundreds, if not thousands</w:t>
      </w:r>
      <w:r w:rsidRPr="6A3EFFE9" w:rsidR="52C56A12">
        <w:rPr>
          <w:rFonts w:ascii="Arial" w:hAnsi="Arial" w:eastAsia="Arial" w:cs="Arial"/>
          <w:noProof w:val="0"/>
          <w:lang w:val="en-US"/>
        </w:rPr>
        <w:t xml:space="preserve">, </w:t>
      </w:r>
      <w:r w:rsidRPr="6A3EFFE9" w:rsidR="1AA0D92E">
        <w:rPr>
          <w:rFonts w:ascii="Arial" w:hAnsi="Arial" w:eastAsia="Arial" w:cs="Arial"/>
          <w:noProof w:val="0"/>
          <w:lang w:val="en-US"/>
        </w:rPr>
        <w:t>of people in the Seattle area were already infected.</w:t>
      </w:r>
    </w:p>
    <w:p w:rsidR="27F2F5E5" w:rsidP="6A3EFFE9" w:rsidRDefault="27F2F5E5" w14:paraId="550793CD" w14:textId="12233AA0">
      <w:pPr>
        <w:pStyle w:val="Normal"/>
        <w:bidi w:val="0"/>
        <w:spacing w:before="0" w:beforeAutospacing="off" w:after="0" w:afterAutospacing="off"/>
        <w:rPr>
          <w:rFonts w:ascii="Arial" w:hAnsi="Arial" w:eastAsia="Arial" w:cs="Arial"/>
          <w:noProof w:val="0"/>
          <w:lang w:val="en-US"/>
        </w:rPr>
      </w:pPr>
      <w:r w:rsidRPr="6A3EFFE9" w:rsidR="1AA0D92E">
        <w:rPr>
          <w:rFonts w:ascii="Arial" w:hAnsi="Arial" w:eastAsia="Arial" w:cs="Arial"/>
          <w:noProof w:val="0"/>
          <w:lang w:val="en-US"/>
        </w:rPr>
        <w:t>This landmark study demonstrated the immense value of using viral genetic sequencing alongside broad community screening during an emerging pandemic. By exposing widespread, hidden transmission weeks before hospital admissions spiked, the findings provided the critical real-time evidence needed to justify early public health interventions in Washington State, such as social distancing mandates and school closures, to slow the spread of the virus.</w:t>
      </w:r>
    </w:p>
    <w:p w:rsidR="27F2F5E5" w:rsidP="6A3EFFE9" w:rsidRDefault="27F2F5E5" w14:paraId="6F0235F7" w14:textId="55683411">
      <w:pPr>
        <w:pStyle w:val="Normal"/>
        <w:bidi w:val="0"/>
        <w:rPr>
          <w:noProof w:val="0"/>
          <w:lang w:val="en-US"/>
        </w:rPr>
      </w:pPr>
    </w:p>
    <w:p w:rsidR="27F2F5E5" w:rsidP="6A3EFFE9" w:rsidRDefault="27F2F5E5" w14:paraId="4AFE06DF" w14:textId="30424B4A">
      <w:pPr>
        <w:pStyle w:val="Heading2"/>
        <w:bidi w:val="0"/>
        <w:spacing w:before="0" w:beforeAutospacing="off" w:after="0" w:afterAutospacing="off"/>
      </w:pPr>
      <w:r w:rsidRPr="6A3EFFE9" w:rsidR="1AA0D92E">
        <w:rPr>
          <w:rFonts w:ascii="Arial" w:hAnsi="Arial" w:eastAsia="Arial" w:cs="Arial"/>
          <w:b w:val="1"/>
          <w:bCs w:val="1"/>
          <w:noProof w:val="0"/>
          <w:color w:val="1F1F1F"/>
          <w:sz w:val="36"/>
          <w:szCs w:val="36"/>
          <w:lang w:val="en-US"/>
        </w:rPr>
        <w:t xml:space="preserve">3. </w:t>
      </w:r>
      <w:r w:rsidRPr="6A3EFFE9" w:rsidR="10F48027">
        <w:rPr>
          <w:rFonts w:ascii="Arial" w:hAnsi="Arial" w:eastAsia="Arial" w:cs="Arial"/>
          <w:b w:val="1"/>
          <w:bCs w:val="1"/>
          <w:noProof w:val="0"/>
          <w:color w:val="1F1F1F"/>
          <w:sz w:val="36"/>
          <w:szCs w:val="36"/>
          <w:lang w:val="en-US"/>
        </w:rPr>
        <w:t>Guide Questions</w:t>
      </w:r>
    </w:p>
    <w:p w:rsidR="27F2F5E5" w:rsidP="6A3EFFE9" w:rsidRDefault="27F2F5E5" w14:paraId="21FC4EED" w14:textId="5ED5EF07">
      <w:pPr>
        <w:pStyle w:val="Normal"/>
        <w:bidi w:val="0"/>
        <w:spacing w:before="0" w:beforeAutospacing="off" w:after="0" w:afterAutospacing="off"/>
      </w:pPr>
      <w:r w:rsidRPr="6A3EFFE9" w:rsidR="73F5380F">
        <w:rPr>
          <w:rFonts w:ascii="Arial" w:hAnsi="Arial" w:eastAsia="Arial" w:cs="Arial"/>
          <w:noProof w:val="0"/>
          <w:sz w:val="24"/>
          <w:szCs w:val="24"/>
          <w:lang w:val="en-US"/>
        </w:rPr>
        <w:t xml:space="preserve">Use these questions to deepen your understanding of the paper and </w:t>
      </w:r>
      <w:r w:rsidRPr="6A3EFFE9" w:rsidR="73F5380F">
        <w:rPr>
          <w:rFonts w:ascii="Arial" w:hAnsi="Arial" w:eastAsia="Arial" w:cs="Arial"/>
          <w:noProof w:val="0"/>
          <w:sz w:val="24"/>
          <w:szCs w:val="24"/>
          <w:lang w:val="en-US"/>
        </w:rPr>
        <w:t>reflect on</w:t>
      </w:r>
      <w:r w:rsidRPr="6A3EFFE9" w:rsidR="73F5380F">
        <w:rPr>
          <w:rFonts w:ascii="Arial" w:hAnsi="Arial" w:eastAsia="Arial" w:cs="Arial"/>
          <w:noProof w:val="0"/>
          <w:sz w:val="24"/>
          <w:szCs w:val="24"/>
          <w:lang w:val="en-US"/>
        </w:rPr>
        <w:t xml:space="preserve"> its implications.</w:t>
      </w:r>
    </w:p>
    <w:p w:rsidR="6A3EFFE9" w:rsidP="6A3EFFE9" w:rsidRDefault="6A3EFFE9" w14:paraId="29CC82EB" w14:textId="5E5D0BDF">
      <w:pPr>
        <w:pStyle w:val="Normal"/>
        <w:bidi w:val="0"/>
        <w:spacing w:before="0" w:beforeAutospacing="off" w:after="0" w:afterAutospacing="off"/>
        <w:rPr>
          <w:rFonts w:ascii="Arial" w:hAnsi="Arial" w:eastAsia="Arial" w:cs="Arial"/>
          <w:noProof w:val="0"/>
          <w:sz w:val="24"/>
          <w:szCs w:val="24"/>
          <w:lang w:val="en-US"/>
        </w:rPr>
      </w:pPr>
    </w:p>
    <w:p w:rsidR="4C7A6F83" w:rsidP="27F2F5E5" w:rsidRDefault="4C7A6F83" w14:paraId="13FC4BCA" w14:textId="365C6799">
      <w:pPr>
        <w:pStyle w:val="Heading3"/>
        <w:bidi w:val="0"/>
        <w:spacing w:before="0" w:beforeAutospacing="off" w:after="0" w:afterAutospacing="off"/>
      </w:pPr>
      <w:r w:rsidRPr="27F2F5E5" w:rsidR="4C7A6F83">
        <w:rPr>
          <w:rFonts w:ascii="Arial" w:hAnsi="Arial" w:eastAsia="Arial" w:cs="Arial"/>
          <w:b w:val="1"/>
          <w:bCs w:val="1"/>
          <w:noProof w:val="0"/>
          <w:color w:val="1F1F1F"/>
          <w:sz w:val="28"/>
          <w:szCs w:val="28"/>
          <w:lang w:val="en-US"/>
        </w:rPr>
        <w:t>Genomic Methods &amp; Evolutionary Trees (Phylodynamics)</w:t>
      </w:r>
    </w:p>
    <w:p w:rsidR="4C7A6F83" w:rsidP="27F2F5E5" w:rsidRDefault="4C7A6F83" w14:paraId="3708D925" w14:textId="45E33593">
      <w:pPr>
        <w:pStyle w:val="ListParagraph"/>
        <w:numPr>
          <w:ilvl w:val="0"/>
          <w:numId w:val="10"/>
        </w:numPr>
        <w:bidi w:val="0"/>
        <w:spacing w:before="0" w:beforeAutospacing="off" w:after="0" w:afterAutospacing="off"/>
        <w:rPr>
          <w:rFonts w:ascii="Arial" w:hAnsi="Arial" w:eastAsia="Arial" w:cs="Arial"/>
          <w:noProof w:val="0"/>
          <w:color w:val="1F1F1F"/>
          <w:sz w:val="24"/>
          <w:szCs w:val="24"/>
          <w:lang w:val="en-US"/>
        </w:rPr>
      </w:pPr>
      <w:r w:rsidRPr="27F2F5E5" w:rsidR="4C7A6F83">
        <w:rPr>
          <w:rFonts w:ascii="Arial" w:hAnsi="Arial" w:eastAsia="Arial" w:cs="Arial"/>
          <w:b w:val="1"/>
          <w:bCs w:val="1"/>
          <w:noProof w:val="0"/>
          <w:color w:val="1F1F1F"/>
          <w:sz w:val="24"/>
          <w:szCs w:val="24"/>
          <w:lang w:val="en-US"/>
        </w:rPr>
        <w:t>Connecting the Dots (WA1 and WA2):</w:t>
      </w:r>
      <w:r w:rsidRPr="27F2F5E5" w:rsidR="4C7A6F83">
        <w:rPr>
          <w:rFonts w:ascii="Arial" w:hAnsi="Arial" w:eastAsia="Arial" w:cs="Arial"/>
          <w:noProof w:val="0"/>
          <w:color w:val="1F1F1F"/>
          <w:sz w:val="24"/>
          <w:szCs w:val="24"/>
          <w:lang w:val="en-US"/>
        </w:rPr>
        <w:t xml:space="preserve"> The authors linked "WA1" (the first confirmed US traveler case identified in Snohomish County in mid-January 2020) to "WA2" (a case detected six weeks later with no travel history) based on shared, rare single nucleotide variants (SNVs: C17747T and A17858G). How did the rarity of these specific mutations support the hypothesis that WA2 descended directly from WA1 rather than representing a new, independent importation from abroad?</w:t>
      </w:r>
    </w:p>
    <w:p w:rsidR="27F2F5E5" w:rsidP="27F2F5E5" w:rsidRDefault="27F2F5E5" w14:paraId="5D49CAD4" w14:textId="5126FE62">
      <w:pPr>
        <w:bidi w:val="0"/>
        <w:spacing w:before="0" w:beforeAutospacing="off" w:after="0" w:afterAutospacing="off"/>
      </w:pPr>
    </w:p>
    <w:p w:rsidR="4C7A6F83" w:rsidP="27F2F5E5" w:rsidRDefault="4C7A6F83" w14:paraId="2BE3BBEE" w14:textId="77E13D91">
      <w:pPr>
        <w:pStyle w:val="ListParagraph"/>
        <w:numPr>
          <w:ilvl w:val="0"/>
          <w:numId w:val="10"/>
        </w:numPr>
        <w:bidi w:val="0"/>
        <w:spacing w:before="0" w:beforeAutospacing="off" w:after="0" w:afterAutospacing="off"/>
        <w:rPr>
          <w:rFonts w:ascii="Arial" w:hAnsi="Arial" w:eastAsia="Arial" w:cs="Arial"/>
          <w:noProof w:val="0"/>
          <w:color w:val="1F1F1F"/>
          <w:sz w:val="24"/>
          <w:szCs w:val="24"/>
          <w:lang w:val="en-US"/>
        </w:rPr>
      </w:pPr>
      <w:r w:rsidRPr="6A3EFFE9" w:rsidR="10F48027">
        <w:rPr>
          <w:rFonts w:ascii="Arial" w:hAnsi="Arial" w:eastAsia="Arial" w:cs="Arial"/>
          <w:b w:val="1"/>
          <w:bCs w:val="1"/>
          <w:noProof w:val="0"/>
          <w:color w:val="1F1F1F"/>
          <w:sz w:val="24"/>
          <w:szCs w:val="24"/>
          <w:lang w:val="en-US"/>
        </w:rPr>
        <w:t>Estimating Epidemic Growth via Coalescent Models:</w:t>
      </w:r>
      <w:r w:rsidRPr="6A3EFFE9" w:rsidR="10F48027">
        <w:rPr>
          <w:rFonts w:ascii="Arial" w:hAnsi="Arial" w:eastAsia="Arial" w:cs="Arial"/>
          <w:noProof w:val="0"/>
          <w:color w:val="1F1F1F"/>
          <w:sz w:val="24"/>
          <w:szCs w:val="24"/>
          <w:lang w:val="en-US"/>
        </w:rPr>
        <w:t xml:space="preserve"> Rather than relying on official case counts, Bedford et al. used coalescent </w:t>
      </w:r>
      <w:r w:rsidRPr="6A3EFFE9" w:rsidR="10F48027">
        <w:rPr>
          <w:rFonts w:ascii="Arial" w:hAnsi="Arial" w:eastAsia="Arial" w:cs="Arial"/>
          <w:noProof w:val="0"/>
          <w:color w:val="1F1F1F"/>
          <w:sz w:val="24"/>
          <w:szCs w:val="24"/>
          <w:lang w:val="en-US"/>
        </w:rPr>
        <w:t>phylodynamics</w:t>
      </w:r>
      <w:r w:rsidRPr="6A3EFFE9" w:rsidR="10F48027">
        <w:rPr>
          <w:rFonts w:ascii="Arial" w:hAnsi="Arial" w:eastAsia="Arial" w:cs="Arial"/>
          <w:noProof w:val="0"/>
          <w:color w:val="1F1F1F"/>
          <w:sz w:val="24"/>
          <w:szCs w:val="24"/>
          <w:lang w:val="en-US"/>
        </w:rPr>
        <w:t xml:space="preserve"> to infer an exponential doubling time of ~2.4 to 5.1 days. How does the density and timing of branching events in a phylogenetic tree allow researchers to estimate epidemic growth rates and effective population size (N</w:t>
      </w:r>
      <w:r w:rsidRPr="6A3EFFE9" w:rsidR="0C82CFE6">
        <w:rPr>
          <w:rFonts w:ascii="Arial" w:hAnsi="Arial" w:eastAsia="Arial" w:cs="Arial"/>
          <w:noProof w:val="0"/>
          <w:color w:val="1F1F1F"/>
          <w:sz w:val="24"/>
          <w:szCs w:val="24"/>
          <w:vertAlign w:val="subscript"/>
          <w:lang w:val="en-US"/>
        </w:rPr>
        <w:t>e</w:t>
      </w:r>
      <w:r w:rsidRPr="6A3EFFE9" w:rsidR="10F48027">
        <w:rPr>
          <w:rFonts w:ascii="Arial" w:hAnsi="Arial" w:eastAsia="Arial" w:cs="Arial"/>
          <w:noProof w:val="0"/>
          <w:color w:val="1F1F1F"/>
          <w:sz w:val="24"/>
          <w:szCs w:val="24"/>
          <w:lang w:val="en-US"/>
        </w:rPr>
        <w:t>)?</w:t>
      </w:r>
    </w:p>
    <w:p w:rsidR="27F2F5E5" w:rsidP="27F2F5E5" w:rsidRDefault="27F2F5E5" w14:paraId="792B66D5" w14:textId="3A32A08C">
      <w:pPr>
        <w:bidi w:val="0"/>
        <w:spacing w:before="0" w:beforeAutospacing="off" w:after="0" w:afterAutospacing="off"/>
      </w:pPr>
    </w:p>
    <w:p w:rsidR="4C7A6F83" w:rsidP="27F2F5E5" w:rsidRDefault="4C7A6F83" w14:paraId="5306977F" w14:textId="597EAE76">
      <w:pPr>
        <w:pStyle w:val="ListParagraph"/>
        <w:numPr>
          <w:ilvl w:val="0"/>
          <w:numId w:val="10"/>
        </w:numPr>
        <w:bidi w:val="0"/>
        <w:spacing w:before="0" w:beforeAutospacing="off" w:after="0" w:afterAutospacing="off"/>
        <w:rPr>
          <w:rFonts w:ascii="Arial" w:hAnsi="Arial" w:eastAsia="Arial" w:cs="Arial"/>
          <w:noProof w:val="0"/>
          <w:color w:val="1F1F1F"/>
          <w:sz w:val="24"/>
          <w:szCs w:val="24"/>
          <w:lang w:val="en-US"/>
        </w:rPr>
      </w:pPr>
      <w:r w:rsidRPr="6A3EFFE9" w:rsidR="10F48027">
        <w:rPr>
          <w:rFonts w:ascii="Arial" w:hAnsi="Arial" w:eastAsia="Arial" w:cs="Arial"/>
          <w:b w:val="1"/>
          <w:bCs w:val="1"/>
          <w:noProof w:val="0"/>
          <w:color w:val="1F1F1F"/>
          <w:sz w:val="24"/>
          <w:szCs w:val="24"/>
          <w:lang w:val="en-US"/>
        </w:rPr>
        <w:t>Molecular Clock Precision &amp; Uncertainty:</w:t>
      </w:r>
      <w:r w:rsidRPr="6A3EFFE9" w:rsidR="10F48027">
        <w:rPr>
          <w:rFonts w:ascii="Arial" w:hAnsi="Arial" w:eastAsia="Arial" w:cs="Arial"/>
          <w:noProof w:val="0"/>
          <w:color w:val="1F1F1F"/>
          <w:sz w:val="24"/>
          <w:szCs w:val="24"/>
          <w:lang w:val="en-US"/>
        </w:rPr>
        <w:t xml:space="preserve"> SARS-CoV-2 accumulates mutations at a rate of </w:t>
      </w:r>
      <w:r w:rsidRPr="6A3EFFE9" w:rsidR="10F48027">
        <w:rPr>
          <w:rFonts w:ascii="Arial" w:hAnsi="Arial" w:eastAsia="Arial" w:cs="Arial"/>
          <w:noProof w:val="0"/>
          <w:color w:val="1F1F1F"/>
          <w:sz w:val="24"/>
          <w:szCs w:val="24"/>
          <w:lang w:val="en-US"/>
        </w:rPr>
        <w:t>roughly 2</w:t>
      </w:r>
      <w:r w:rsidRPr="6A3EFFE9" w:rsidR="10F48027">
        <w:rPr>
          <w:rFonts w:ascii="Arial" w:hAnsi="Arial" w:eastAsia="Arial" w:cs="Arial"/>
          <w:noProof w:val="0"/>
          <w:color w:val="1F1F1F"/>
          <w:sz w:val="24"/>
          <w:szCs w:val="24"/>
          <w:lang w:val="en-US"/>
        </w:rPr>
        <w:t xml:space="preserve"> substitutions per genome per month (</w:t>
      </w:r>
      <w:r w:rsidRPr="6A3EFFE9" w:rsidR="14F0670E">
        <w:rPr>
          <w:rFonts w:ascii="Arial" w:hAnsi="Arial" w:eastAsia="Arial" w:cs="Arial"/>
          <w:noProof w:val="0"/>
          <w:color w:val="1F1F1F"/>
          <w:sz w:val="24"/>
          <w:szCs w:val="24"/>
          <w:lang w:val="en-US"/>
        </w:rPr>
        <w:t>~1 x 10</w:t>
      </w:r>
      <w:r w:rsidRPr="6A3EFFE9" w:rsidR="14F0670E">
        <w:rPr>
          <w:rFonts w:ascii="Arial" w:hAnsi="Arial" w:eastAsia="Arial" w:cs="Arial"/>
          <w:noProof w:val="0"/>
          <w:color w:val="1F1F1F"/>
          <w:sz w:val="24"/>
          <w:szCs w:val="24"/>
          <w:vertAlign w:val="superscript"/>
          <w:lang w:val="en-US"/>
        </w:rPr>
        <w:t>-3</w:t>
      </w:r>
      <w:r w:rsidRPr="6A3EFFE9" w:rsidR="7721CC60">
        <w:rPr>
          <w:rFonts w:ascii="Arial" w:hAnsi="Arial" w:eastAsia="Arial" w:cs="Arial"/>
          <w:noProof w:val="0"/>
          <w:color w:val="1F1F1F"/>
          <w:sz w:val="24"/>
          <w:szCs w:val="24"/>
          <w:vertAlign w:val="superscript"/>
          <w:lang w:val="en-US"/>
        </w:rPr>
        <w:t xml:space="preserve"> </w:t>
      </w:r>
      <w:r w:rsidRPr="6A3EFFE9" w:rsidR="10F48027">
        <w:rPr>
          <w:rFonts w:ascii="Arial" w:hAnsi="Arial" w:eastAsia="Arial" w:cs="Arial"/>
          <w:noProof w:val="0"/>
          <w:color w:val="1F1F1F"/>
          <w:sz w:val="24"/>
          <w:szCs w:val="24"/>
          <w:lang w:val="en-US"/>
        </w:rPr>
        <w:t xml:space="preserve">substitutions/site/year). Given this slow mutation rate over short </w:t>
      </w:r>
      <w:r w:rsidRPr="6A3EFFE9" w:rsidR="10F48027">
        <w:rPr>
          <w:rFonts w:ascii="Arial" w:hAnsi="Arial" w:eastAsia="Arial" w:cs="Arial"/>
          <w:noProof w:val="0"/>
          <w:color w:val="1F1F1F"/>
          <w:sz w:val="24"/>
          <w:szCs w:val="24"/>
          <w:lang w:val="en-US"/>
        </w:rPr>
        <w:t>timeframes</w:t>
      </w:r>
      <w:r w:rsidRPr="6A3EFFE9" w:rsidR="10F48027">
        <w:rPr>
          <w:rFonts w:ascii="Arial" w:hAnsi="Arial" w:eastAsia="Arial" w:cs="Arial"/>
          <w:noProof w:val="0"/>
          <w:color w:val="1F1F1F"/>
          <w:sz w:val="24"/>
          <w:szCs w:val="24"/>
          <w:lang w:val="en-US"/>
        </w:rPr>
        <w:t xml:space="preserve">, what are the methodological challenges in </w:t>
      </w:r>
      <w:r w:rsidRPr="6A3EFFE9" w:rsidR="10F48027">
        <w:rPr>
          <w:rFonts w:ascii="Arial" w:hAnsi="Arial" w:eastAsia="Arial" w:cs="Arial"/>
          <w:noProof w:val="0"/>
          <w:color w:val="1F1F1F"/>
          <w:sz w:val="24"/>
          <w:szCs w:val="24"/>
          <w:lang w:val="en-US"/>
        </w:rPr>
        <w:t>establishing</w:t>
      </w:r>
      <w:r w:rsidRPr="6A3EFFE9" w:rsidR="10F48027">
        <w:rPr>
          <w:rFonts w:ascii="Arial" w:hAnsi="Arial" w:eastAsia="Arial" w:cs="Arial"/>
          <w:noProof w:val="0"/>
          <w:color w:val="1F1F1F"/>
          <w:sz w:val="24"/>
          <w:szCs w:val="24"/>
          <w:lang w:val="en-US"/>
        </w:rPr>
        <w:t xml:space="preserve"> the precise date of the Most Recent Common Ancestor (MRCA)? How did sensitivity analyses and simulations evaluate the alternative possibility of multiple independent introductions?</w:t>
      </w:r>
    </w:p>
    <w:p w:rsidR="27F2F5E5" w:rsidP="27F2F5E5" w:rsidRDefault="27F2F5E5" w14:paraId="52E4C864" w14:textId="45E03BC0">
      <w:pPr>
        <w:bidi w:val="0"/>
        <w:spacing w:before="0" w:beforeAutospacing="off" w:after="0" w:afterAutospacing="off"/>
      </w:pPr>
    </w:p>
    <w:p w:rsidR="4C7A6F83" w:rsidP="27F2F5E5" w:rsidRDefault="4C7A6F83" w14:paraId="1CC55D74" w14:textId="26568C07">
      <w:pPr>
        <w:pStyle w:val="Heading3"/>
        <w:bidi w:val="0"/>
        <w:spacing w:before="0" w:beforeAutospacing="off" w:after="0" w:afterAutospacing="off"/>
      </w:pPr>
      <w:r w:rsidRPr="27F2F5E5" w:rsidR="4C7A6F83">
        <w:rPr>
          <w:rFonts w:ascii="Arial" w:hAnsi="Arial" w:eastAsia="Arial" w:cs="Arial"/>
          <w:b w:val="1"/>
          <w:bCs w:val="1"/>
          <w:noProof w:val="0"/>
          <w:color w:val="1F1F1F"/>
          <w:sz w:val="28"/>
          <w:szCs w:val="28"/>
          <w:lang w:val="en-US"/>
        </w:rPr>
        <w:t>Outbreak Dynamics &amp; Surveillance Failures</w:t>
      </w:r>
    </w:p>
    <w:p w:rsidR="4C7A6F83" w:rsidP="27F2F5E5" w:rsidRDefault="4C7A6F83" w14:paraId="27801F37" w14:textId="3BC91D5C">
      <w:pPr>
        <w:pStyle w:val="ListParagraph"/>
        <w:numPr>
          <w:ilvl w:val="0"/>
          <w:numId w:val="11"/>
        </w:numPr>
        <w:bidi w:val="0"/>
        <w:spacing w:before="0" w:beforeAutospacing="off" w:after="0" w:afterAutospacing="off"/>
        <w:rPr>
          <w:rFonts w:ascii="Arial" w:hAnsi="Arial" w:eastAsia="Arial" w:cs="Arial"/>
          <w:noProof w:val="0"/>
          <w:color w:val="1F1F1F"/>
          <w:sz w:val="24"/>
          <w:szCs w:val="24"/>
          <w:lang w:val="en-US"/>
        </w:rPr>
      </w:pPr>
      <w:r w:rsidRPr="27F2F5E5" w:rsidR="4C7A6F83">
        <w:rPr>
          <w:rFonts w:ascii="Arial" w:hAnsi="Arial" w:eastAsia="Arial" w:cs="Arial"/>
          <w:b w:val="1"/>
          <w:bCs w:val="1"/>
          <w:noProof w:val="0"/>
          <w:color w:val="1F1F1F"/>
          <w:sz w:val="24"/>
          <w:szCs w:val="24"/>
          <w:lang w:val="en-US"/>
        </w:rPr>
        <w:t>The Blind Spot of Case Definitions:</w:t>
      </w:r>
      <w:r w:rsidRPr="27F2F5E5" w:rsidR="4C7A6F83">
        <w:rPr>
          <w:rFonts w:ascii="Arial" w:hAnsi="Arial" w:eastAsia="Arial" w:cs="Arial"/>
          <w:noProof w:val="0"/>
          <w:color w:val="1F1F1F"/>
          <w:sz w:val="24"/>
          <w:szCs w:val="24"/>
          <w:lang w:val="en-US"/>
        </w:rPr>
        <w:t xml:space="preserve"> During January and February 2020, public health protocols restricted SARS-CoV-2 testing almost exclusively to symptomatic individuals with direct travel history to Hubei Province, China. How did this narrow clinical case definition enable six weeks of "cryptic transmission," and what does this reveal about the vulnerabilities of travel-based screening during a novel pandemic?</w:t>
      </w:r>
    </w:p>
    <w:p w:rsidR="27F2F5E5" w:rsidP="27F2F5E5" w:rsidRDefault="27F2F5E5" w14:paraId="6A40EB9D" w14:textId="1C653B78">
      <w:pPr>
        <w:bidi w:val="0"/>
        <w:spacing w:before="0" w:beforeAutospacing="off" w:after="0" w:afterAutospacing="off"/>
      </w:pPr>
    </w:p>
    <w:p w:rsidR="4C7A6F83" w:rsidP="27F2F5E5" w:rsidRDefault="4C7A6F83" w14:paraId="7C0A229F" w14:textId="4DBEE6FF">
      <w:pPr>
        <w:pStyle w:val="ListParagraph"/>
        <w:numPr>
          <w:ilvl w:val="0"/>
          <w:numId w:val="11"/>
        </w:numPr>
        <w:bidi w:val="0"/>
        <w:spacing w:before="0" w:beforeAutospacing="off" w:after="0" w:afterAutospacing="off"/>
        <w:rPr>
          <w:rFonts w:ascii="Arial" w:hAnsi="Arial" w:eastAsia="Arial" w:cs="Arial"/>
          <w:noProof w:val="0"/>
          <w:color w:val="1F1F1F"/>
          <w:sz w:val="24"/>
          <w:szCs w:val="24"/>
          <w:lang w:val="en-US"/>
        </w:rPr>
      </w:pPr>
      <w:r w:rsidRPr="27F2F5E5" w:rsidR="4C7A6F83">
        <w:rPr>
          <w:rFonts w:ascii="Arial" w:hAnsi="Arial" w:eastAsia="Arial" w:cs="Arial"/>
          <w:b w:val="1"/>
          <w:bCs w:val="1"/>
          <w:noProof w:val="0"/>
          <w:color w:val="1F1F1F"/>
          <w:sz w:val="24"/>
          <w:szCs w:val="24"/>
          <w:lang w:val="en-US"/>
        </w:rPr>
        <w:t>Repurposing Existing Infrastructure (The Seattle Flu Study):</w:t>
      </w:r>
      <w:r w:rsidRPr="27F2F5E5" w:rsidR="4C7A6F83">
        <w:rPr>
          <w:rFonts w:ascii="Arial" w:hAnsi="Arial" w:eastAsia="Arial" w:cs="Arial"/>
          <w:noProof w:val="0"/>
          <w:color w:val="1F1F1F"/>
          <w:sz w:val="24"/>
          <w:szCs w:val="24"/>
          <w:lang w:val="en-US"/>
        </w:rPr>
        <w:t xml:space="preserve"> The detection of WA2 occurred because researchers repurposed samples from an ongoing community influenza monitoring project (the Seattle Flu Study). Why was community-level syndromic surveillance able to uncover transmission that hospital and clinic screening missed?</w:t>
      </w:r>
    </w:p>
    <w:p w:rsidR="27F2F5E5" w:rsidP="27F2F5E5" w:rsidRDefault="27F2F5E5" w14:paraId="2A04DE99" w14:textId="50BB5228">
      <w:pPr>
        <w:bidi w:val="0"/>
        <w:spacing w:before="0" w:beforeAutospacing="off" w:after="0" w:afterAutospacing="off"/>
      </w:pPr>
    </w:p>
    <w:p w:rsidR="4C7A6F83" w:rsidP="27F2F5E5" w:rsidRDefault="4C7A6F83" w14:paraId="7D923E85" w14:textId="16C5FF53">
      <w:pPr>
        <w:pStyle w:val="ListParagraph"/>
        <w:numPr>
          <w:ilvl w:val="0"/>
          <w:numId w:val="11"/>
        </w:numPr>
        <w:bidi w:val="0"/>
        <w:spacing w:before="0" w:beforeAutospacing="off" w:after="0" w:afterAutospacing="off"/>
        <w:rPr>
          <w:rFonts w:ascii="Arial" w:hAnsi="Arial" w:eastAsia="Arial" w:cs="Arial"/>
          <w:noProof w:val="0"/>
          <w:color w:val="1F1F1F"/>
          <w:sz w:val="24"/>
          <w:szCs w:val="24"/>
          <w:lang w:val="en-US"/>
        </w:rPr>
      </w:pPr>
      <w:r w:rsidRPr="27F2F5E5" w:rsidR="4C7A6F83">
        <w:rPr>
          <w:rFonts w:ascii="Arial" w:hAnsi="Arial" w:eastAsia="Arial" w:cs="Arial"/>
          <w:b w:val="1"/>
          <w:bCs w:val="1"/>
          <w:noProof w:val="0"/>
          <w:color w:val="1F1F1F"/>
          <w:sz w:val="24"/>
          <w:szCs w:val="24"/>
          <w:lang w:val="en-US"/>
        </w:rPr>
        <w:t>Cryptic Spread vs. Extinct Importations:</w:t>
      </w:r>
      <w:r w:rsidRPr="27F2F5E5" w:rsidR="4C7A6F83">
        <w:rPr>
          <w:rFonts w:ascii="Arial" w:hAnsi="Arial" w:eastAsia="Arial" w:cs="Arial"/>
          <w:noProof w:val="0"/>
          <w:color w:val="1F1F1F"/>
          <w:sz w:val="24"/>
          <w:szCs w:val="24"/>
          <w:lang w:val="en-US"/>
        </w:rPr>
        <w:t xml:space="preserve"> Subsequent academic debates (e.g., Worobey et al., 2020) re-analyzed early SARS-CoV-2 genomes to question whether WA1 truly sparked the Washington outbreak or if WA1 was an extinct lineage alongside a separate importation sharing similar mutations. How does this ongoing scientific debate illustrate the sensitivity of genomic epidemiology conclusions to sample size, spatial sampling bias, and evolutionary model assumptions?</w:t>
      </w:r>
    </w:p>
    <w:p w:rsidR="27F2F5E5" w:rsidP="27F2F5E5" w:rsidRDefault="27F2F5E5" w14:paraId="1BC88525" w14:textId="5B8EF3DC">
      <w:pPr>
        <w:bidi w:val="0"/>
        <w:spacing w:before="0" w:beforeAutospacing="off" w:after="0" w:afterAutospacing="off"/>
      </w:pPr>
    </w:p>
    <w:p w:rsidR="27F2F5E5" w:rsidP="27F2F5E5" w:rsidRDefault="27F2F5E5" w14:paraId="6E62E2CB" w14:textId="4A7DD90F">
      <w:pPr>
        <w:spacing w:after="120" w:line="240" w:lineRule="auto"/>
        <w:rPr>
          <w:rFonts w:ascii="Arial" w:hAnsi="Arial" w:eastAsia="Times New Roman" w:cs="Arial"/>
          <w:color w:val="1F1F1F"/>
        </w:rPr>
      </w:pPr>
    </w:p>
    <w:p w:rsidR="00EA7F3E" w:rsidRDefault="00EA7F3E" w14:paraId="1CF957DC" w14:textId="77777777"/>
    <w:sectPr w:rsidR="00EA7F3E" w:rsidSect="00BD2C05">
      <w:type w:val="continuous"/>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50a84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b7b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e46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302758"/>
    <w:multiLevelType w:val="multilevel"/>
    <w:tmpl w:val="F732E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18095E"/>
    <w:multiLevelType w:val="multilevel"/>
    <w:tmpl w:val="15C23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9E0B56"/>
    <w:multiLevelType w:val="multilevel"/>
    <w:tmpl w:val="1C006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FF4D16"/>
    <w:multiLevelType w:val="multilevel"/>
    <w:tmpl w:val="27A40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D1077E7"/>
    <w:multiLevelType w:val="multilevel"/>
    <w:tmpl w:val="4E22D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F423F85"/>
    <w:multiLevelType w:val="multilevel"/>
    <w:tmpl w:val="04743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85E2E8D"/>
    <w:multiLevelType w:val="multilevel"/>
    <w:tmpl w:val="2CE01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26F6574"/>
    <w:multiLevelType w:val="multilevel"/>
    <w:tmpl w:val="AB4AA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D052E7"/>
    <w:multiLevelType w:val="multilevel"/>
    <w:tmpl w:val="53C64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0">
    <w:abstractNumId w:val="9"/>
  </w:num>
  <w:num w:numId="1" w16cid:durableId="1943107512">
    <w:abstractNumId w:val="0"/>
  </w:num>
  <w:num w:numId="2" w16cid:durableId="1289121368">
    <w:abstractNumId w:val="1"/>
  </w:num>
  <w:num w:numId="3" w16cid:durableId="1846355664">
    <w:abstractNumId w:val="8"/>
  </w:num>
  <w:num w:numId="4" w16cid:durableId="1419056215">
    <w:abstractNumId w:val="3"/>
  </w:num>
  <w:num w:numId="5" w16cid:durableId="1778141172">
    <w:abstractNumId w:val="7"/>
  </w:num>
  <w:num w:numId="6" w16cid:durableId="2010868523">
    <w:abstractNumId w:val="2"/>
  </w:num>
  <w:num w:numId="7" w16cid:durableId="1095130020">
    <w:abstractNumId w:val="6"/>
  </w:num>
  <w:num w:numId="8" w16cid:durableId="1881090809">
    <w:abstractNumId w:val="4"/>
  </w:num>
  <w:num w:numId="9" w16cid:durableId="104080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3E"/>
    <w:rsid w:val="00007D9E"/>
    <w:rsid w:val="00036A53"/>
    <w:rsid w:val="00077622"/>
    <w:rsid w:val="000803AC"/>
    <w:rsid w:val="000923A7"/>
    <w:rsid w:val="000D6A82"/>
    <w:rsid w:val="000E0071"/>
    <w:rsid w:val="00112DBA"/>
    <w:rsid w:val="0015716B"/>
    <w:rsid w:val="001774FB"/>
    <w:rsid w:val="00183095"/>
    <w:rsid w:val="00196056"/>
    <w:rsid w:val="001B64C2"/>
    <w:rsid w:val="001C07D7"/>
    <w:rsid w:val="001C4CA5"/>
    <w:rsid w:val="001D52F6"/>
    <w:rsid w:val="001F5358"/>
    <w:rsid w:val="002311E4"/>
    <w:rsid w:val="00231910"/>
    <w:rsid w:val="002434E5"/>
    <w:rsid w:val="00243DBB"/>
    <w:rsid w:val="00291388"/>
    <w:rsid w:val="00294863"/>
    <w:rsid w:val="00294DCC"/>
    <w:rsid w:val="002A4E1A"/>
    <w:rsid w:val="002D5F3F"/>
    <w:rsid w:val="003245FC"/>
    <w:rsid w:val="00326F38"/>
    <w:rsid w:val="003B26DC"/>
    <w:rsid w:val="003B78BF"/>
    <w:rsid w:val="003D0110"/>
    <w:rsid w:val="003D631F"/>
    <w:rsid w:val="003D68CD"/>
    <w:rsid w:val="003E585A"/>
    <w:rsid w:val="003F0E78"/>
    <w:rsid w:val="003F1334"/>
    <w:rsid w:val="003F78D9"/>
    <w:rsid w:val="00410C0A"/>
    <w:rsid w:val="00423AF4"/>
    <w:rsid w:val="0044142F"/>
    <w:rsid w:val="004649EC"/>
    <w:rsid w:val="004975FF"/>
    <w:rsid w:val="004B531C"/>
    <w:rsid w:val="004F0F26"/>
    <w:rsid w:val="00512F6B"/>
    <w:rsid w:val="00527227"/>
    <w:rsid w:val="00572089"/>
    <w:rsid w:val="005A2AA0"/>
    <w:rsid w:val="005C1CED"/>
    <w:rsid w:val="005C3E90"/>
    <w:rsid w:val="00610C4A"/>
    <w:rsid w:val="00623E15"/>
    <w:rsid w:val="00635DC9"/>
    <w:rsid w:val="00652B04"/>
    <w:rsid w:val="00665132"/>
    <w:rsid w:val="00670ECF"/>
    <w:rsid w:val="00675BD8"/>
    <w:rsid w:val="006849E9"/>
    <w:rsid w:val="006C2B43"/>
    <w:rsid w:val="006E4B67"/>
    <w:rsid w:val="00721543"/>
    <w:rsid w:val="0074233A"/>
    <w:rsid w:val="00750726"/>
    <w:rsid w:val="007B15F0"/>
    <w:rsid w:val="007E0D3C"/>
    <w:rsid w:val="007E1E81"/>
    <w:rsid w:val="007E5BE5"/>
    <w:rsid w:val="007E7985"/>
    <w:rsid w:val="008441E4"/>
    <w:rsid w:val="00871891"/>
    <w:rsid w:val="008877B3"/>
    <w:rsid w:val="008C60F0"/>
    <w:rsid w:val="008E2C24"/>
    <w:rsid w:val="00911490"/>
    <w:rsid w:val="00916B7C"/>
    <w:rsid w:val="009535DC"/>
    <w:rsid w:val="00953635"/>
    <w:rsid w:val="00975C8F"/>
    <w:rsid w:val="00977D93"/>
    <w:rsid w:val="0098345B"/>
    <w:rsid w:val="009E476E"/>
    <w:rsid w:val="00A270D6"/>
    <w:rsid w:val="00A340A8"/>
    <w:rsid w:val="00A453EA"/>
    <w:rsid w:val="00A61A2F"/>
    <w:rsid w:val="00A90957"/>
    <w:rsid w:val="00AB4A04"/>
    <w:rsid w:val="00AF7723"/>
    <w:rsid w:val="00B27327"/>
    <w:rsid w:val="00B345A7"/>
    <w:rsid w:val="00B41547"/>
    <w:rsid w:val="00B62D3E"/>
    <w:rsid w:val="00B775E6"/>
    <w:rsid w:val="00B83279"/>
    <w:rsid w:val="00B903F1"/>
    <w:rsid w:val="00BA1E53"/>
    <w:rsid w:val="00BC33AF"/>
    <w:rsid w:val="00BC5BB1"/>
    <w:rsid w:val="00BD2C05"/>
    <w:rsid w:val="00BE77DA"/>
    <w:rsid w:val="00C14512"/>
    <w:rsid w:val="00C14C81"/>
    <w:rsid w:val="00C74AD5"/>
    <w:rsid w:val="00CB1437"/>
    <w:rsid w:val="00CC7019"/>
    <w:rsid w:val="00CD4723"/>
    <w:rsid w:val="00D118C0"/>
    <w:rsid w:val="00D244B7"/>
    <w:rsid w:val="00D30D2B"/>
    <w:rsid w:val="00D360EF"/>
    <w:rsid w:val="00D7715E"/>
    <w:rsid w:val="00D83B4E"/>
    <w:rsid w:val="00DA6B27"/>
    <w:rsid w:val="00DC267A"/>
    <w:rsid w:val="00DE17A1"/>
    <w:rsid w:val="00DE4B56"/>
    <w:rsid w:val="00DF0554"/>
    <w:rsid w:val="00DF719C"/>
    <w:rsid w:val="00E014E8"/>
    <w:rsid w:val="00E01F26"/>
    <w:rsid w:val="00E02045"/>
    <w:rsid w:val="00E20865"/>
    <w:rsid w:val="00E47065"/>
    <w:rsid w:val="00E5592F"/>
    <w:rsid w:val="00E80F2D"/>
    <w:rsid w:val="00E86678"/>
    <w:rsid w:val="00EA7F3E"/>
    <w:rsid w:val="00ED46D6"/>
    <w:rsid w:val="00ED5B76"/>
    <w:rsid w:val="00F73DAF"/>
    <w:rsid w:val="03E1C1F7"/>
    <w:rsid w:val="0C82CFE6"/>
    <w:rsid w:val="0F70E285"/>
    <w:rsid w:val="10169534"/>
    <w:rsid w:val="10F48027"/>
    <w:rsid w:val="14F0670E"/>
    <w:rsid w:val="14F92453"/>
    <w:rsid w:val="1AA0D92E"/>
    <w:rsid w:val="1EDDC5E0"/>
    <w:rsid w:val="1EE87C96"/>
    <w:rsid w:val="2125265B"/>
    <w:rsid w:val="26703881"/>
    <w:rsid w:val="27F2F5E5"/>
    <w:rsid w:val="2865BCA9"/>
    <w:rsid w:val="29F51CE6"/>
    <w:rsid w:val="2F57CAB1"/>
    <w:rsid w:val="3828DDE8"/>
    <w:rsid w:val="3FA3B477"/>
    <w:rsid w:val="400422EA"/>
    <w:rsid w:val="45463A4E"/>
    <w:rsid w:val="4C7A6F83"/>
    <w:rsid w:val="4E6461AB"/>
    <w:rsid w:val="52C56A12"/>
    <w:rsid w:val="5D0EE5CD"/>
    <w:rsid w:val="5DFEC1F4"/>
    <w:rsid w:val="671B46FF"/>
    <w:rsid w:val="6A3EFFE9"/>
    <w:rsid w:val="70E39A86"/>
    <w:rsid w:val="71D2A123"/>
    <w:rsid w:val="72AA5D9A"/>
    <w:rsid w:val="737D1199"/>
    <w:rsid w:val="73F5380F"/>
    <w:rsid w:val="7721CC60"/>
    <w:rsid w:val="7C429D73"/>
    <w:rsid w:val="7E736673"/>
    <w:rsid w:val="7EDD14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B07F"/>
  <w15:chartTrackingRefBased/>
  <w15:docId w15:val="{080E8527-48A1-F24E-96A9-0734F1D2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A7F3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F3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F3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A7F3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A7F3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A7F3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A7F3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A7F3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A7F3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A7F3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A7F3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A7F3E"/>
    <w:rPr>
      <w:rFonts w:eastAsiaTheme="majorEastAsia" w:cstheme="majorBidi"/>
      <w:color w:val="272727" w:themeColor="text1" w:themeTint="D8"/>
    </w:rPr>
  </w:style>
  <w:style w:type="paragraph" w:styleId="Title">
    <w:name w:val="Title"/>
    <w:basedOn w:val="Normal"/>
    <w:next w:val="Normal"/>
    <w:link w:val="TitleChar"/>
    <w:uiPriority w:val="10"/>
    <w:qFormat/>
    <w:rsid w:val="00EA7F3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A7F3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A7F3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A7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F3E"/>
    <w:pPr>
      <w:spacing w:before="160"/>
      <w:jc w:val="center"/>
    </w:pPr>
    <w:rPr>
      <w:i/>
      <w:iCs/>
      <w:color w:val="404040" w:themeColor="text1" w:themeTint="BF"/>
    </w:rPr>
  </w:style>
  <w:style w:type="character" w:styleId="QuoteChar" w:customStyle="1">
    <w:name w:val="Quote Char"/>
    <w:basedOn w:val="DefaultParagraphFont"/>
    <w:link w:val="Quote"/>
    <w:uiPriority w:val="29"/>
    <w:rsid w:val="00EA7F3E"/>
    <w:rPr>
      <w:i/>
      <w:iCs/>
      <w:color w:val="404040" w:themeColor="text1" w:themeTint="BF"/>
    </w:rPr>
  </w:style>
  <w:style w:type="paragraph" w:styleId="ListParagraph">
    <w:name w:val="List Paragraph"/>
    <w:basedOn w:val="Normal"/>
    <w:uiPriority w:val="34"/>
    <w:qFormat/>
    <w:rsid w:val="00EA7F3E"/>
    <w:pPr>
      <w:ind w:left="720"/>
      <w:contextualSpacing/>
    </w:pPr>
  </w:style>
  <w:style w:type="character" w:styleId="IntenseEmphasis">
    <w:name w:val="Intense Emphasis"/>
    <w:basedOn w:val="DefaultParagraphFont"/>
    <w:uiPriority w:val="21"/>
    <w:qFormat/>
    <w:rsid w:val="00EA7F3E"/>
    <w:rPr>
      <w:i/>
      <w:iCs/>
      <w:color w:val="0F4761" w:themeColor="accent1" w:themeShade="BF"/>
    </w:rPr>
  </w:style>
  <w:style w:type="paragraph" w:styleId="IntenseQuote">
    <w:name w:val="Intense Quote"/>
    <w:basedOn w:val="Normal"/>
    <w:next w:val="Normal"/>
    <w:link w:val="IntenseQuoteChar"/>
    <w:uiPriority w:val="30"/>
    <w:qFormat/>
    <w:rsid w:val="00EA7F3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A7F3E"/>
    <w:rPr>
      <w:i/>
      <w:iCs/>
      <w:color w:val="0F4761" w:themeColor="accent1" w:themeShade="BF"/>
    </w:rPr>
  </w:style>
  <w:style w:type="character" w:styleId="IntenseReference">
    <w:name w:val="Intense Reference"/>
    <w:basedOn w:val="DefaultParagraphFont"/>
    <w:uiPriority w:val="32"/>
    <w:qFormat/>
    <w:rsid w:val="00EA7F3E"/>
    <w:rPr>
      <w:b/>
      <w:bCs/>
      <w:smallCaps/>
      <w:color w:val="0F4761" w:themeColor="accent1" w:themeShade="BF"/>
      <w:spacing w:val="5"/>
    </w:rPr>
  </w:style>
  <w:style w:type="character" w:styleId="LineNumber">
    <w:name w:val="line number"/>
    <w:basedOn w:val="DefaultParagraphFont"/>
    <w:uiPriority w:val="99"/>
    <w:semiHidden/>
    <w:unhideWhenUsed/>
    <w:rsid w:val="00EA7F3E"/>
  </w:style>
  <w:style w:type="paragraph" w:styleId="NormalWeb">
    <w:name w:val="Normal (Web)"/>
    <w:basedOn w:val="Normal"/>
    <w:uiPriority w:val="99"/>
    <w:semiHidden/>
    <w:unhideWhenUsed/>
    <w:rsid w:val="00EA7F3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EA7F3E"/>
    <w:rPr>
      <w:b/>
      <w:bCs/>
    </w:rPr>
  </w:style>
  <w:style w:type="character" w:styleId="citation-7" w:customStyle="1">
    <w:name w:val="citation-7"/>
    <w:basedOn w:val="DefaultParagraphFont"/>
    <w:rsid w:val="00EA7F3E"/>
  </w:style>
  <w:style w:type="character" w:styleId="citation-6" w:customStyle="1">
    <w:name w:val="citation-6"/>
    <w:basedOn w:val="DefaultParagraphFont"/>
    <w:rsid w:val="00EA7F3E"/>
  </w:style>
  <w:style w:type="character" w:styleId="citation-5" w:customStyle="1">
    <w:name w:val="citation-5"/>
    <w:basedOn w:val="DefaultParagraphFont"/>
    <w:rsid w:val="00EA7F3E"/>
  </w:style>
  <w:style w:type="character" w:styleId="citation-4" w:customStyle="1">
    <w:name w:val="citation-4"/>
    <w:basedOn w:val="DefaultParagraphFont"/>
    <w:rsid w:val="00EA7F3E"/>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Ludy Registre Carmola</dc:creator>
  <keywords/>
  <dc:description/>
  <lastModifiedBy>Ludy Registre Carmola</lastModifiedBy>
  <revision>5</revision>
  <dcterms:created xsi:type="dcterms:W3CDTF">2026-06-10T19:01:00.0000000Z</dcterms:created>
  <dcterms:modified xsi:type="dcterms:W3CDTF">2026-08-13T22:12:29.6774699Z</dcterms:modified>
</coreProperties>
</file>