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7 Tracing and Privacy Note</w:t>
      </w:r>
    </w:p>
    <w:p>
      <w:r>
        <w:rPr>
          <w:b/>
        </w:rPr>
        <w:t>Owner:</w:t>
      </w:r>
      <w:r>
        <w:t xml:space="preserve"> Fred (observability); Stacey (evaluation integration)</w:t>
      </w:r>
    </w:p>
    <w:p>
      <w:r>
        <w:rPr>
          <w:b/>
        </w:rPr>
        <w:t>Implementation:</w:t>
      </w:r>
      <w:r>
        <w:t xml:space="preserve"> </w:t>
      </w:r>
      <w:r>
        <w:rPr>
          <w:rFonts w:ascii="Consolas" w:hAnsi="Consolas"/>
          <w:sz w:val="18"/>
        </w:rPr>
        <w:t>src/observability.py</w:t>
      </w:r>
      <w:r>
        <w:t xml:space="preserve">, integrated in </w:t>
      </w:r>
      <w:r>
        <w:rPr>
          <w:rFonts w:ascii="Consolas" w:hAnsi="Consolas"/>
          <w:sz w:val="18"/>
        </w:rPr>
        <w:t>src/bounded_agent.py</w:t>
      </w:r>
      <w:r>
        <w:t xml:space="preserve"> and </w:t>
      </w:r>
      <w:r>
        <w:rPr>
          <w:rFonts w:ascii="Consolas" w:hAnsi="Consolas"/>
          <w:sz w:val="18"/>
        </w:rPr>
        <w:t>src/run_evaluation.py</w:t>
      </w:r>
    </w:p>
    <w:p>
      <w:r>
        <w:t xml:space="preserve">Each run summary includes a unique run ID, UTC start time, total elapsed latency, a SHA-256 prompt/tool-schema version, provider and model configuration, retrieval counts, workflow outcome and a compact event list. Events record model/tool latency, tool outcome, provider failures, stop reason and guardrail codes. The evaluation runner persists both the aggregate result and a separate JSON summary for each scenario/repeat under </w:t>
      </w:r>
      <w:r>
        <w:rPr>
          <w:rFonts w:ascii="Consolas" w:hAnsi="Consolas"/>
          <w:sz w:val="18"/>
        </w:rPr>
        <w:t>docs/evidence/&lt;label&gt;_&lt;mode&gt;_traces/</w:t>
      </w:r>
      <w:r>
        <w:t xml:space="preserve">. When a run crashes before a safe summary is available, the per-run file explicitly records </w:t>
      </w:r>
      <w:r>
        <w:rPr>
          <w:rFonts w:ascii="Consolas" w:hAnsi="Consolas"/>
          <w:sz w:val="18"/>
        </w:rPr>
        <w:t>trace_status: unavailable</w:t>
      </w:r>
      <w:r>
        <w:t xml:space="preserve"> and the exception type only.</w:t>
      </w:r>
    </w:p>
    <w:p>
      <w:r>
        <w:t>The persisted observability summary is allow-list based. It omits student names, student IDs, message content, tool arguments and tool-result text. Tool-call events keep tool name, input field names, success/error type and a case-lookup outcome; guardrail events keep codes or finding field/reason, never blocked text. The aggregate evaluation result files are broader test evidence and include synthetic scenario messages and IDs; do not place real student records in the evaluation set.</w:t>
      </w:r>
    </w:p>
    <w:p>
      <w:pPr>
        <w:pStyle w:val="Heading1"/>
      </w:pPr>
      <w:r>
        <w:t>Sample traces</w:t>
      </w:r>
    </w:p>
    <w:p>
      <w:pPr>
        <w:pStyle w:val="ListBullet"/>
      </w:pPr>
      <w:r>
        <w:t xml:space="preserve">Success: </w:t>
      </w:r>
      <w:hyperlink r:id="rId9">
        <w:r>
          <w:rPr>
            <w:color w:val="0563C1"/>
            <w:u w:val="single"/>
          </w:rPr>
          <w:t>sample_trace_success.json</w:t>
        </w:r>
      </w:hyperlink>
      <w:r>
        <w:t xml:space="preserve"> — NOR-01 completes a case-status lookup.</w:t>
      </w:r>
    </w:p>
    <w:p>
      <w:pPr>
        <w:pStyle w:val="ListBullet"/>
      </w:pPr>
      <w:r>
        <w:t xml:space="preserve">Failure: </w:t>
      </w:r>
      <w:hyperlink r:id="rId10">
        <w:r>
          <w:rPr>
            <w:color w:val="0563C1"/>
            <w:u w:val="single"/>
          </w:rPr>
          <w:t>sample_trace_failure.json</w:t>
        </w:r>
      </w:hyperlink>
      <w:r>
        <w:t xml:space="preserve"> — TLF-02 records a simulated tool exception and failed outcome without exposing the exception message.</w:t>
      </w:r>
    </w:p>
    <w:p>
      <w:pPr>
        <w:pStyle w:val="ListBullet"/>
      </w:pPr>
      <w:r>
        <w:t xml:space="preserve">Fallback: </w:t>
      </w:r>
      <w:hyperlink r:id="rId11">
        <w:r>
          <w:rPr>
            <w:color w:val="0563C1"/>
            <w:u w:val="single"/>
          </w:rPr>
          <w:t>sample_trace_fallback.json</w:t>
        </w:r>
      </w:hyperlink>
      <w:r>
        <w:t xml:space="preserve"> — TLF-04 records the planned primary-provider outage and successful Gemini fallback.</w:t>
      </w:r>
    </w:p>
    <w:p>
      <w:r>
        <w:t>These examples are from scripted runs. Provider and model values in scripted mode identify the simulated providers; their latency values are not live-provider performance measurements.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C:/Users/HP%20USER/OneDrive/Desktop/Year%204%20Sem%201/Emerging%20Trends%20in%20the%20year%20of%20Elohim/Group-G-University-student-support-case-agent/docs/evidence/week%207/sample_traces/sample_trace_success.json" TargetMode="External"/><Relationship Id="rId10" Type="http://schemas.openxmlformats.org/officeDocument/2006/relationships/hyperlink" Target="file:///C:/Users/HP%20USER/OneDrive/Desktop/Year%204%20Sem%201/Emerging%20Trends%20in%20the%20year%20of%20Elohim/Group-G-University-student-support-case-agent/docs/evidence/week%207/sample_traces/sample_trace_failure.json" TargetMode="External"/><Relationship Id="rId11" Type="http://schemas.openxmlformats.org/officeDocument/2006/relationships/hyperlink" Target="file:///C:/Users/HP%20USER/OneDrive/Desktop/Year%204%20Sem%201/Emerging%20Trends%20in%20the%20year%20of%20Elohim/Group-G-University-student-support-case-agent/docs/evidence/week%207/sample_traces/sample_trace_fallback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