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844"/>
        <w:docPartObj>
          <w:docPartGallery w:val="Cover Pages"/>
          <w:docPartUnique/>
        </w:docPartObj>
      </w:sdtPr>
      <w:sdtEndPr>
        <w:rPr>
          <w:rFonts w:cstheme="minorHAnsi"/>
        </w:rPr>
      </w:sdtEndPr>
      <w:sdtContent>
        <w:p w14:paraId="1B6B2556" w14:textId="425484E1" w:rsidR="00630060" w:rsidRDefault="00630060" w:rsidP="00F80C05">
          <w:pPr>
            <w:jc w:val="both"/>
          </w:pPr>
          <w:r>
            <w:rPr>
              <w:noProof/>
              <w:lang w:eastAsia="fr-FR"/>
            </w:rPr>
            <mc:AlternateContent>
              <mc:Choice Requires="wpg">
                <w:drawing>
                  <wp:anchor distT="0" distB="0" distL="114300" distR="114300" simplePos="0" relativeHeight="251662336" behindDoc="0" locked="0" layoutInCell="1" allowOverlap="1" wp14:anchorId="78841F8B" wp14:editId="5BC4E0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D18B9B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AAC15B0" w14:textId="1E533907" w:rsidR="00630060" w:rsidRDefault="000440F0" w:rsidP="00F80C05">
          <w:pPr>
            <w:jc w:val="both"/>
            <w:rPr>
              <w:rFonts w:cstheme="minorHAnsi"/>
            </w:rPr>
          </w:pPr>
          <w:r>
            <w:rPr>
              <w:rFonts w:cstheme="minorHAnsi"/>
              <w:noProof/>
              <w:lang w:eastAsia="fr-FR"/>
            </w:rPr>
            <w:drawing>
              <wp:anchor distT="0" distB="0" distL="114300" distR="114300" simplePos="0" relativeHeight="251666432" behindDoc="0" locked="0" layoutInCell="1" allowOverlap="1" wp14:anchorId="4C4936C8" wp14:editId="48D2C370">
                <wp:simplePos x="0" y="0"/>
                <wp:positionH relativeFrom="column">
                  <wp:posOffset>3157855</wp:posOffset>
                </wp:positionH>
                <wp:positionV relativeFrom="paragraph">
                  <wp:posOffset>4349750</wp:posOffset>
                </wp:positionV>
                <wp:extent cx="1187450" cy="1187450"/>
                <wp:effectExtent l="0" t="0" r="0" b="0"/>
                <wp:wrapThrough wrapText="bothSides">
                  <wp:wrapPolygon edited="0">
                    <wp:start x="2426" y="3812"/>
                    <wp:lineTo x="2079" y="10049"/>
                    <wp:lineTo x="0" y="15247"/>
                    <wp:lineTo x="0" y="17673"/>
                    <wp:lineTo x="21138" y="17673"/>
                    <wp:lineTo x="21138" y="15247"/>
                    <wp:lineTo x="19059" y="10049"/>
                    <wp:lineTo x="18712" y="3812"/>
                    <wp:lineTo x="2426" y="3812"/>
                  </wp:wrapPolygon>
                </wp:wrapThrough>
                <wp:docPr id="11" name="Graphique 11" descr="Ordinateur portabl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1" descr="Ordinateur portable contou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2"/>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lang w:eastAsia="fr-FR"/>
            </w:rPr>
            <w:drawing>
              <wp:anchor distT="0" distB="0" distL="114300" distR="114300" simplePos="0" relativeHeight="251664384" behindDoc="0" locked="0" layoutInCell="1" allowOverlap="1" wp14:anchorId="55272815" wp14:editId="0406766F">
                <wp:simplePos x="0" y="0"/>
                <wp:positionH relativeFrom="column">
                  <wp:posOffset>1662430</wp:posOffset>
                </wp:positionH>
                <wp:positionV relativeFrom="paragraph">
                  <wp:posOffset>5657850</wp:posOffset>
                </wp:positionV>
                <wp:extent cx="1187450" cy="1187450"/>
                <wp:effectExtent l="0" t="0" r="0" b="0"/>
                <wp:wrapThrough wrapText="bothSides">
                  <wp:wrapPolygon edited="0">
                    <wp:start x="4505" y="1040"/>
                    <wp:lineTo x="347" y="11782"/>
                    <wp:lineTo x="347" y="13168"/>
                    <wp:lineTo x="2079" y="18366"/>
                    <wp:lineTo x="2079" y="20098"/>
                    <wp:lineTo x="7277" y="20098"/>
                    <wp:lineTo x="21138" y="19059"/>
                    <wp:lineTo x="21138" y="14901"/>
                    <wp:lineTo x="18019" y="13514"/>
                    <wp:lineTo x="15247" y="12821"/>
                    <wp:lineTo x="19059" y="11089"/>
                    <wp:lineTo x="18366" y="1040"/>
                    <wp:lineTo x="4505" y="1040"/>
                  </wp:wrapPolygon>
                </wp:wrapThrough>
                <wp:docPr id="8" name="Graphique 8" descr="Class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que 8" descr="Classe contour"/>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lang w:eastAsia="fr-FR"/>
            </w:rPr>
            <w:drawing>
              <wp:anchor distT="0" distB="0" distL="114300" distR="114300" simplePos="0" relativeHeight="251663360" behindDoc="0" locked="0" layoutInCell="1" allowOverlap="1" wp14:anchorId="3C7F6C5B" wp14:editId="16E2EECC">
                <wp:simplePos x="0" y="0"/>
                <wp:positionH relativeFrom="column">
                  <wp:posOffset>4538980</wp:posOffset>
                </wp:positionH>
                <wp:positionV relativeFrom="paragraph">
                  <wp:posOffset>5657850</wp:posOffset>
                </wp:positionV>
                <wp:extent cx="1187450" cy="1187450"/>
                <wp:effectExtent l="0" t="0" r="0" b="0"/>
                <wp:wrapThrough wrapText="bothSides">
                  <wp:wrapPolygon edited="0">
                    <wp:start x="2079" y="2079"/>
                    <wp:lineTo x="2079" y="19059"/>
                    <wp:lineTo x="19059" y="19059"/>
                    <wp:lineTo x="19405" y="12821"/>
                    <wp:lineTo x="18366" y="11089"/>
                    <wp:lineTo x="15594" y="8317"/>
                    <wp:lineTo x="11782" y="2079"/>
                    <wp:lineTo x="2079" y="2079"/>
                  </wp:wrapPolygon>
                </wp:wrapThrough>
                <wp:docPr id="10" name="Graphique 10" descr="Graphique à barres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que 10" descr="Graphique à barres contour"/>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lang w:eastAsia="fr-FR"/>
            </w:rPr>
            <w:drawing>
              <wp:anchor distT="0" distB="0" distL="114300" distR="114300" simplePos="0" relativeHeight="251665408" behindDoc="0" locked="0" layoutInCell="1" allowOverlap="1" wp14:anchorId="50613E10" wp14:editId="722D0C96">
                <wp:simplePos x="0" y="0"/>
                <wp:positionH relativeFrom="column">
                  <wp:posOffset>262255</wp:posOffset>
                </wp:positionH>
                <wp:positionV relativeFrom="paragraph">
                  <wp:posOffset>4352925</wp:posOffset>
                </wp:positionV>
                <wp:extent cx="1187450" cy="1187450"/>
                <wp:effectExtent l="0" t="0" r="0" b="0"/>
                <wp:wrapThrough wrapText="bothSides">
                  <wp:wrapPolygon edited="0">
                    <wp:start x="9703" y="693"/>
                    <wp:lineTo x="3465" y="4158"/>
                    <wp:lineTo x="3119" y="5544"/>
                    <wp:lineTo x="5198" y="6930"/>
                    <wp:lineTo x="1386" y="7277"/>
                    <wp:lineTo x="1040" y="11435"/>
                    <wp:lineTo x="3119" y="12475"/>
                    <wp:lineTo x="2772" y="16287"/>
                    <wp:lineTo x="4851" y="18019"/>
                    <wp:lineTo x="9010" y="18366"/>
                    <wp:lineTo x="9356" y="19752"/>
                    <wp:lineTo x="9703" y="20445"/>
                    <wp:lineTo x="11435" y="20445"/>
                    <wp:lineTo x="12475" y="18366"/>
                    <wp:lineTo x="16287" y="18019"/>
                    <wp:lineTo x="18712" y="15940"/>
                    <wp:lineTo x="18019" y="12475"/>
                    <wp:lineTo x="20445" y="11435"/>
                    <wp:lineTo x="19752" y="7277"/>
                    <wp:lineTo x="15940" y="6930"/>
                    <wp:lineTo x="18019" y="5198"/>
                    <wp:lineTo x="17326" y="3812"/>
                    <wp:lineTo x="11435" y="693"/>
                    <wp:lineTo x="9703" y="693"/>
                  </wp:wrapPolygon>
                </wp:wrapThrough>
                <wp:docPr id="3" name="Graphique 3" descr="Covid-19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Covid-19 contour"/>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8"/>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59264" behindDoc="0" locked="0" layoutInCell="1" allowOverlap="1" wp14:anchorId="40AE0A5A" wp14:editId="2C963632">
                    <wp:simplePos x="0" y="0"/>
                    <wp:positionH relativeFrom="page">
                      <wp:posOffset>222885</wp:posOffset>
                    </wp:positionH>
                    <wp:positionV relativeFrom="page">
                      <wp:posOffset>2302510</wp:posOffset>
                    </wp:positionV>
                    <wp:extent cx="7315200" cy="2381250"/>
                    <wp:effectExtent l="0" t="0" r="0" b="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238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AF563D" w14:textId="77A2717C" w:rsidR="00630060" w:rsidRDefault="00824D8B">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30060" w:rsidRPr="00630060">
                                      <w:rPr>
                                        <w:caps/>
                                        <w:color w:val="4472C4" w:themeColor="accent1"/>
                                        <w:sz w:val="64"/>
                                        <w:szCs w:val="64"/>
                                      </w:rPr>
                                      <w:t>impact de la</w:t>
                                    </w:r>
                                    <w:r w:rsidR="00630060">
                                      <w:rPr>
                                        <w:caps/>
                                        <w:color w:val="4472C4" w:themeColor="accent1"/>
                                        <w:sz w:val="64"/>
                                        <w:szCs w:val="64"/>
                                      </w:rPr>
                                      <w:br/>
                                    </w:r>
                                    <w:r w:rsidR="00630060" w:rsidRPr="00630060">
                                      <w:rPr>
                                        <w:caps/>
                                        <w:color w:val="4472C4" w:themeColor="accent1"/>
                                        <w:sz w:val="64"/>
                                        <w:szCs w:val="64"/>
                                      </w:rPr>
                                      <w:t>pandémie COVID-19 sur l’</w:t>
                                    </w:r>
                                    <w:r w:rsidR="00630060">
                                      <w:rPr>
                                        <w:caps/>
                                        <w:color w:val="4472C4" w:themeColor="accent1"/>
                                        <w:sz w:val="64"/>
                                        <w:szCs w:val="64"/>
                                      </w:rPr>
                                      <w:t>Apprentissage</w:t>
                                    </w:r>
                                    <w:r w:rsidR="00630060" w:rsidRPr="00630060">
                                      <w:rPr>
                                        <w:caps/>
                                        <w:color w:val="4472C4" w:themeColor="accent1"/>
                                        <w:sz w:val="64"/>
                                        <w:szCs w:val="64"/>
                                      </w:rPr>
                                      <w:t xml:space="preserve"> aux USA</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8C4AC3" w14:textId="0143EDFA" w:rsidR="00630060" w:rsidRDefault="00630060">
                                    <w:pPr>
                                      <w:jc w:val="right"/>
                                      <w:rPr>
                                        <w:smallCaps/>
                                        <w:color w:val="404040" w:themeColor="text1" w:themeTint="BF"/>
                                        <w:sz w:val="36"/>
                                        <w:szCs w:val="36"/>
                                      </w:rPr>
                                    </w:pPr>
                                    <w:r>
                                      <w:rPr>
                                        <w:color w:val="404040" w:themeColor="text1" w:themeTint="BF"/>
                                        <w:sz w:val="36"/>
                                        <w:szCs w:val="36"/>
                                      </w:rPr>
                                      <w:t>4BIGF – Big Data Fundamentals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AE0A5A" id="_x0000_t202" coordsize="21600,21600" o:spt="202" path="m,l,21600r21600,l21600,xe">
                    <v:stroke joinstyle="miter"/>
                    <v:path gradientshapeok="t" o:connecttype="rect"/>
                  </v:shapetype>
                  <v:shape id="Zone de texte 154" o:spid="_x0000_s1026" type="#_x0000_t202" style="position:absolute;left:0;text-align:left;margin-left:17.55pt;margin-top:181.3pt;width:8in;height:18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" filled="f" stroked="f" strokeweight=".5pt">
                    <v:textbox inset="126pt,0,54pt,0">
                      <w:txbxContent>
                        <w:p w14:paraId="4EAF563D" w14:textId="77A2717C" w:rsidR="00630060" w:rsidRDefault="0063006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30060">
                                <w:rPr>
                                  <w:caps/>
                                  <w:color w:val="4472C4" w:themeColor="accent1"/>
                                  <w:sz w:val="64"/>
                                  <w:szCs w:val="64"/>
                                </w:rPr>
                                <w:t>impact de la</w:t>
                              </w:r>
                              <w:r>
                                <w:rPr>
                                  <w:caps/>
                                  <w:color w:val="4472C4" w:themeColor="accent1"/>
                                  <w:sz w:val="64"/>
                                  <w:szCs w:val="64"/>
                                </w:rPr>
                                <w:br/>
                              </w:r>
                              <w:r w:rsidRPr="00630060">
                                <w:rPr>
                                  <w:caps/>
                                  <w:color w:val="4472C4" w:themeColor="accent1"/>
                                  <w:sz w:val="64"/>
                                  <w:szCs w:val="64"/>
                                </w:rPr>
                                <w:t>pandémie COVID-19 sur l’</w:t>
                              </w:r>
                              <w:r>
                                <w:rPr>
                                  <w:caps/>
                                  <w:color w:val="4472C4" w:themeColor="accent1"/>
                                  <w:sz w:val="64"/>
                                  <w:szCs w:val="64"/>
                                </w:rPr>
                                <w:t>Apprentissage</w:t>
                              </w:r>
                              <w:r w:rsidRPr="00630060">
                                <w:rPr>
                                  <w:caps/>
                                  <w:color w:val="4472C4" w:themeColor="accent1"/>
                                  <w:sz w:val="64"/>
                                  <w:szCs w:val="64"/>
                                </w:rPr>
                                <w:t xml:space="preserve"> aux USA</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8C4AC3" w14:textId="0143EDFA" w:rsidR="00630060" w:rsidRDefault="00630060">
                              <w:pPr>
                                <w:jc w:val="right"/>
                                <w:rPr>
                                  <w:smallCaps/>
                                  <w:color w:val="404040" w:themeColor="text1" w:themeTint="BF"/>
                                  <w:sz w:val="36"/>
                                  <w:szCs w:val="36"/>
                                </w:rPr>
                              </w:pPr>
                              <w:r>
                                <w:rPr>
                                  <w:color w:val="404040" w:themeColor="text1" w:themeTint="BF"/>
                                  <w:sz w:val="36"/>
                                  <w:szCs w:val="36"/>
                                </w:rPr>
                                <w:t>4BIGF – Big Data Fundamentals</w:t>
                              </w:r>
                            </w:p>
                          </w:sdtContent>
                        </w:sdt>
                      </w:txbxContent>
                    </v:textbox>
                    <w10:wrap type="square" anchorx="page" anchory="page"/>
                  </v:shape>
                </w:pict>
              </mc:Fallback>
            </mc:AlternateContent>
          </w:r>
          <w:r w:rsidR="00675D07">
            <w:rPr>
              <w:noProof/>
              <w:lang w:eastAsia="fr-FR"/>
            </w:rPr>
            <mc:AlternateContent>
              <mc:Choice Requires="wps">
                <w:drawing>
                  <wp:anchor distT="0" distB="0" distL="114300" distR="114300" simplePos="0" relativeHeight="251660288" behindDoc="0" locked="0" layoutInCell="1" allowOverlap="1" wp14:anchorId="44F0FD93" wp14:editId="2641DB67">
                    <wp:simplePos x="0" y="0"/>
                    <wp:positionH relativeFrom="page">
                      <wp:posOffset>219075</wp:posOffset>
                    </wp:positionH>
                    <wp:positionV relativeFrom="page">
                      <wp:posOffset>8429625</wp:posOffset>
                    </wp:positionV>
                    <wp:extent cx="7315200" cy="1289685"/>
                    <wp:effectExtent l="0" t="0" r="0" b="571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1289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C161C" w14:textId="166AB2AB" w:rsidR="00630060" w:rsidRDefault="00630060" w:rsidP="00675D07">
                                <w:pPr>
                                  <w:pStyle w:val="Sansinterligne"/>
                                  <w:ind w:left="-1560" w:right="-192"/>
                                  <w:jc w:val="right"/>
                                  <w:rPr>
                                    <w:color w:val="595959" w:themeColor="text1" w:themeTint="A6"/>
                                    <w:sz w:val="28"/>
                                    <w:szCs w:val="28"/>
                                  </w:rPr>
                                </w:pPr>
                                <w:r>
                                  <w:rPr>
                                    <w:color w:val="595959" w:themeColor="text1" w:themeTint="A6"/>
                                    <w:sz w:val="28"/>
                                    <w:szCs w:val="28"/>
                                  </w:rPr>
                                  <w:t>BENYOUCEF Lynda</w:t>
                                </w:r>
                              </w:p>
                              <w:p w14:paraId="16550E02" w14:textId="02E14CF6" w:rsidR="00630060"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2022</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HULLOUX Guillaume</w:t>
                                </w:r>
                              </w:p>
                              <w:p w14:paraId="3D082EE2" w14:textId="79D3E544" w:rsidR="00675D07"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Campus de Lille</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LEPLAE Louan</w:t>
                                </w:r>
                              </w:p>
                              <w:p w14:paraId="3819145A" w14:textId="6F2771E3" w:rsidR="00630060" w:rsidRDefault="00630060" w:rsidP="00675D07">
                                <w:pPr>
                                  <w:pStyle w:val="Sansinterligne"/>
                                  <w:ind w:left="-1560" w:right="-192"/>
                                  <w:jc w:val="both"/>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F0FD93" id="Zone de texte 152" o:spid="_x0000_s1027" type="#_x0000_t202" style="position:absolute;left:0;text-align:left;margin-left:17.25pt;margin-top:663.75pt;width:8in;height:101.5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" filled="f" stroked="f" strokeweight=".5pt">
                    <v:textbox inset="126pt,0,54pt,0">
                      <w:txbxContent>
                        <w:p w14:paraId="6CEC161C" w14:textId="166AB2AB" w:rsidR="00630060" w:rsidRDefault="00630060" w:rsidP="00675D07">
                          <w:pPr>
                            <w:pStyle w:val="Sansinterligne"/>
                            <w:ind w:left="-1560" w:right="-192"/>
                            <w:jc w:val="right"/>
                            <w:rPr>
                              <w:color w:val="595959" w:themeColor="text1" w:themeTint="A6"/>
                              <w:sz w:val="28"/>
                              <w:szCs w:val="28"/>
                            </w:rPr>
                          </w:pPr>
                          <w:r>
                            <w:rPr>
                              <w:color w:val="595959" w:themeColor="text1" w:themeTint="A6"/>
                              <w:sz w:val="28"/>
                              <w:szCs w:val="28"/>
                            </w:rPr>
                            <w:t>BENYOUCEF Lynda</w:t>
                          </w:r>
                        </w:p>
                        <w:p w14:paraId="16550E02" w14:textId="02E14CF6" w:rsidR="00630060"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2022</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HULLOUX Guillaume</w:t>
                          </w:r>
                        </w:p>
                        <w:p w14:paraId="3D082EE2" w14:textId="79D3E544" w:rsidR="00675D07"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Campus de Lille</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LEPLAE Louan</w:t>
                          </w:r>
                        </w:p>
                        <w:p w14:paraId="3819145A" w14:textId="6F2771E3" w:rsidR="00630060" w:rsidRDefault="00630060" w:rsidP="00675D07">
                          <w:pPr>
                            <w:pStyle w:val="Sansinterligne"/>
                            <w:ind w:left="-1560" w:right="-192"/>
                            <w:jc w:val="both"/>
                            <w:rPr>
                              <w:color w:val="595959" w:themeColor="text1" w:themeTint="A6"/>
                              <w:sz w:val="18"/>
                              <w:szCs w:val="18"/>
                            </w:rPr>
                          </w:pPr>
                        </w:p>
                      </w:txbxContent>
                    </v:textbox>
                    <w10:wrap type="square" anchorx="page" anchory="page"/>
                  </v:shape>
                </w:pict>
              </mc:Fallback>
            </mc:AlternateContent>
          </w:r>
          <w:r w:rsidR="00630060">
            <w:rPr>
              <w:rFonts w:cstheme="minorHAnsi"/>
            </w:rPr>
            <w:br w:type="page"/>
          </w:r>
        </w:p>
      </w:sdtContent>
    </w:sdt>
    <w:sdt>
      <w:sdtPr>
        <w:rPr>
          <w:rFonts w:asciiTheme="minorHAnsi" w:eastAsiaTheme="minorHAnsi" w:hAnsiTheme="minorHAnsi" w:cstheme="minorHAnsi"/>
          <w:color w:val="auto"/>
          <w:sz w:val="22"/>
          <w:szCs w:val="22"/>
          <w:lang w:eastAsia="en-US"/>
        </w:rPr>
        <w:id w:val="719322032"/>
        <w:docPartObj>
          <w:docPartGallery w:val="Table of Contents"/>
          <w:docPartUnique/>
        </w:docPartObj>
      </w:sdtPr>
      <w:sdtEndPr>
        <w:rPr>
          <w:b/>
          <w:bCs/>
        </w:rPr>
      </w:sdtEndPr>
      <w:sdtContent>
        <w:p w14:paraId="5E975F3B" w14:textId="5D10511F" w:rsidR="00E933D2" w:rsidRPr="003615A1" w:rsidRDefault="00E933D2" w:rsidP="00F80C05">
          <w:pPr>
            <w:pStyle w:val="En-ttedetabledesmatires"/>
            <w:jc w:val="both"/>
            <w:rPr>
              <w:rFonts w:asciiTheme="minorHAnsi" w:hAnsiTheme="minorHAnsi" w:cstheme="minorHAnsi"/>
            </w:rPr>
          </w:pPr>
          <w:r w:rsidRPr="003615A1">
            <w:rPr>
              <w:rFonts w:asciiTheme="minorHAnsi" w:hAnsiTheme="minorHAnsi" w:cstheme="minorHAnsi"/>
            </w:rPr>
            <w:t>Table des matières</w:t>
          </w:r>
        </w:p>
        <w:p w14:paraId="7AEF0001" w14:textId="11D0486B" w:rsidR="00B61C4F" w:rsidRDefault="00E933D2" w:rsidP="00F80C05">
          <w:pPr>
            <w:pStyle w:val="TM1"/>
            <w:tabs>
              <w:tab w:val="right" w:leader="dot" w:pos="9062"/>
            </w:tabs>
            <w:jc w:val="both"/>
            <w:rPr>
              <w:rFonts w:eastAsiaTheme="minorEastAsia"/>
              <w:noProof/>
              <w:lang w:eastAsia="fr-FR"/>
            </w:rPr>
          </w:pPr>
          <w:r w:rsidRPr="003615A1">
            <w:rPr>
              <w:rFonts w:cstheme="minorHAnsi"/>
            </w:rPr>
            <w:fldChar w:fldCharType="begin"/>
          </w:r>
          <w:r w:rsidRPr="003615A1">
            <w:rPr>
              <w:rFonts w:cstheme="minorHAnsi"/>
            </w:rPr>
            <w:instrText xml:space="preserve"> TOC \o "1-3" \h \z \u </w:instrText>
          </w:r>
          <w:r w:rsidRPr="003615A1">
            <w:rPr>
              <w:rFonts w:cstheme="minorHAnsi"/>
            </w:rPr>
            <w:fldChar w:fldCharType="separate"/>
          </w:r>
          <w:hyperlink w:anchor="_Toc97582903" w:history="1">
            <w:r w:rsidR="00B61C4F" w:rsidRPr="00FA2E20">
              <w:rPr>
                <w:rStyle w:val="Lienhypertexte"/>
                <w:rFonts w:cstheme="minorHAnsi"/>
                <w:noProof/>
              </w:rPr>
              <w:t>Introduction</w:t>
            </w:r>
            <w:r w:rsidR="00B61C4F">
              <w:rPr>
                <w:noProof/>
                <w:webHidden/>
              </w:rPr>
              <w:tab/>
            </w:r>
            <w:r w:rsidR="00B61C4F">
              <w:rPr>
                <w:noProof/>
                <w:webHidden/>
              </w:rPr>
              <w:fldChar w:fldCharType="begin"/>
            </w:r>
            <w:r w:rsidR="00B61C4F">
              <w:rPr>
                <w:noProof/>
                <w:webHidden/>
              </w:rPr>
              <w:instrText xml:space="preserve"> PAGEREF _Toc97582903 \h </w:instrText>
            </w:r>
            <w:r w:rsidR="00B61C4F">
              <w:rPr>
                <w:noProof/>
                <w:webHidden/>
              </w:rPr>
            </w:r>
            <w:r w:rsidR="00B61C4F">
              <w:rPr>
                <w:noProof/>
                <w:webHidden/>
              </w:rPr>
              <w:fldChar w:fldCharType="separate"/>
            </w:r>
            <w:r w:rsidR="00B61C4F">
              <w:rPr>
                <w:noProof/>
                <w:webHidden/>
              </w:rPr>
              <w:t>2</w:t>
            </w:r>
            <w:r w:rsidR="00B61C4F">
              <w:rPr>
                <w:noProof/>
                <w:webHidden/>
              </w:rPr>
              <w:fldChar w:fldCharType="end"/>
            </w:r>
          </w:hyperlink>
        </w:p>
        <w:p w14:paraId="3DE00ED0" w14:textId="326D5277" w:rsidR="00B61C4F" w:rsidRDefault="00824D8B" w:rsidP="00F80C05">
          <w:pPr>
            <w:pStyle w:val="TM1"/>
            <w:tabs>
              <w:tab w:val="right" w:leader="dot" w:pos="9062"/>
            </w:tabs>
            <w:jc w:val="both"/>
            <w:rPr>
              <w:rFonts w:eastAsiaTheme="minorEastAsia"/>
              <w:noProof/>
              <w:lang w:eastAsia="fr-FR"/>
            </w:rPr>
          </w:pPr>
          <w:hyperlink w:anchor="_Toc97582904" w:history="1">
            <w:r w:rsidR="00B61C4F" w:rsidRPr="00FA2E20">
              <w:rPr>
                <w:rStyle w:val="Lienhypertexte"/>
                <w:rFonts w:cstheme="minorHAnsi"/>
                <w:noProof/>
              </w:rPr>
              <w:t>Objectifs</w:t>
            </w:r>
            <w:r w:rsidR="00B61C4F">
              <w:rPr>
                <w:noProof/>
                <w:webHidden/>
              </w:rPr>
              <w:tab/>
            </w:r>
            <w:r w:rsidR="00B61C4F">
              <w:rPr>
                <w:noProof/>
                <w:webHidden/>
              </w:rPr>
              <w:fldChar w:fldCharType="begin"/>
            </w:r>
            <w:r w:rsidR="00B61C4F">
              <w:rPr>
                <w:noProof/>
                <w:webHidden/>
              </w:rPr>
              <w:instrText xml:space="preserve"> PAGEREF _Toc97582904 \h </w:instrText>
            </w:r>
            <w:r w:rsidR="00B61C4F">
              <w:rPr>
                <w:noProof/>
                <w:webHidden/>
              </w:rPr>
            </w:r>
            <w:r w:rsidR="00B61C4F">
              <w:rPr>
                <w:noProof/>
                <w:webHidden/>
              </w:rPr>
              <w:fldChar w:fldCharType="separate"/>
            </w:r>
            <w:r w:rsidR="00B61C4F">
              <w:rPr>
                <w:noProof/>
                <w:webHidden/>
              </w:rPr>
              <w:t>2</w:t>
            </w:r>
            <w:r w:rsidR="00B61C4F">
              <w:rPr>
                <w:noProof/>
                <w:webHidden/>
              </w:rPr>
              <w:fldChar w:fldCharType="end"/>
            </w:r>
          </w:hyperlink>
        </w:p>
        <w:p w14:paraId="57A5237E" w14:textId="3D1E408D" w:rsidR="00B61C4F" w:rsidRDefault="00824D8B" w:rsidP="00F80C05">
          <w:pPr>
            <w:pStyle w:val="TM1"/>
            <w:tabs>
              <w:tab w:val="right" w:leader="dot" w:pos="9062"/>
            </w:tabs>
            <w:jc w:val="both"/>
            <w:rPr>
              <w:rFonts w:eastAsiaTheme="minorEastAsia"/>
              <w:noProof/>
              <w:lang w:eastAsia="fr-FR"/>
            </w:rPr>
          </w:pPr>
          <w:hyperlink w:anchor="_Toc97582905" w:history="1">
            <w:r w:rsidR="00B61C4F" w:rsidRPr="00FA2E20">
              <w:rPr>
                <w:rStyle w:val="Lienhypertexte"/>
                <w:rFonts w:cstheme="minorHAnsi"/>
                <w:noProof/>
              </w:rPr>
              <w:t>Données disponibles</w:t>
            </w:r>
            <w:r w:rsidR="00B61C4F">
              <w:rPr>
                <w:noProof/>
                <w:webHidden/>
              </w:rPr>
              <w:tab/>
            </w:r>
            <w:r w:rsidR="00B61C4F">
              <w:rPr>
                <w:noProof/>
                <w:webHidden/>
              </w:rPr>
              <w:fldChar w:fldCharType="begin"/>
            </w:r>
            <w:r w:rsidR="00B61C4F">
              <w:rPr>
                <w:noProof/>
                <w:webHidden/>
              </w:rPr>
              <w:instrText xml:space="preserve"> PAGEREF _Toc97582905 \h </w:instrText>
            </w:r>
            <w:r w:rsidR="00B61C4F">
              <w:rPr>
                <w:noProof/>
                <w:webHidden/>
              </w:rPr>
            </w:r>
            <w:r w:rsidR="00B61C4F">
              <w:rPr>
                <w:noProof/>
                <w:webHidden/>
              </w:rPr>
              <w:fldChar w:fldCharType="separate"/>
            </w:r>
            <w:r w:rsidR="00B61C4F">
              <w:rPr>
                <w:noProof/>
                <w:webHidden/>
              </w:rPr>
              <w:t>3</w:t>
            </w:r>
            <w:r w:rsidR="00B61C4F">
              <w:rPr>
                <w:noProof/>
                <w:webHidden/>
              </w:rPr>
              <w:fldChar w:fldCharType="end"/>
            </w:r>
          </w:hyperlink>
        </w:p>
        <w:p w14:paraId="754F821F" w14:textId="18260B99" w:rsidR="00B61C4F" w:rsidRDefault="00824D8B" w:rsidP="00F80C05">
          <w:pPr>
            <w:pStyle w:val="TM2"/>
            <w:tabs>
              <w:tab w:val="right" w:leader="dot" w:pos="9062"/>
            </w:tabs>
            <w:jc w:val="both"/>
            <w:rPr>
              <w:rFonts w:eastAsiaTheme="minorEastAsia"/>
              <w:noProof/>
              <w:lang w:eastAsia="fr-FR"/>
            </w:rPr>
          </w:pPr>
          <w:hyperlink w:anchor="_Toc97582906" w:history="1">
            <w:r w:rsidR="00B61C4F" w:rsidRPr="00FA2E20">
              <w:rPr>
                <w:rStyle w:val="Lienhypertexte"/>
                <w:rFonts w:cstheme="minorHAnsi"/>
                <w:noProof/>
              </w:rPr>
              <w:t>Engagement étudiant</w:t>
            </w:r>
            <w:r w:rsidR="00B61C4F">
              <w:rPr>
                <w:noProof/>
                <w:webHidden/>
              </w:rPr>
              <w:tab/>
            </w:r>
            <w:r w:rsidR="00B61C4F">
              <w:rPr>
                <w:noProof/>
                <w:webHidden/>
              </w:rPr>
              <w:fldChar w:fldCharType="begin"/>
            </w:r>
            <w:r w:rsidR="00B61C4F">
              <w:rPr>
                <w:noProof/>
                <w:webHidden/>
              </w:rPr>
              <w:instrText xml:space="preserve"> PAGEREF _Toc97582906 \h </w:instrText>
            </w:r>
            <w:r w:rsidR="00B61C4F">
              <w:rPr>
                <w:noProof/>
                <w:webHidden/>
              </w:rPr>
            </w:r>
            <w:r w:rsidR="00B61C4F">
              <w:rPr>
                <w:noProof/>
                <w:webHidden/>
              </w:rPr>
              <w:fldChar w:fldCharType="separate"/>
            </w:r>
            <w:r w:rsidR="00B61C4F">
              <w:rPr>
                <w:noProof/>
                <w:webHidden/>
              </w:rPr>
              <w:t>3</w:t>
            </w:r>
            <w:r w:rsidR="00B61C4F">
              <w:rPr>
                <w:noProof/>
                <w:webHidden/>
              </w:rPr>
              <w:fldChar w:fldCharType="end"/>
            </w:r>
          </w:hyperlink>
        </w:p>
        <w:p w14:paraId="063FC7F1" w14:textId="44214611" w:rsidR="00B61C4F" w:rsidRDefault="00824D8B" w:rsidP="00F80C05">
          <w:pPr>
            <w:pStyle w:val="TM2"/>
            <w:tabs>
              <w:tab w:val="right" w:leader="dot" w:pos="9062"/>
            </w:tabs>
            <w:jc w:val="both"/>
            <w:rPr>
              <w:rFonts w:eastAsiaTheme="minorEastAsia"/>
              <w:noProof/>
              <w:lang w:eastAsia="fr-FR"/>
            </w:rPr>
          </w:pPr>
          <w:hyperlink w:anchor="_Toc97582907" w:history="1">
            <w:r w:rsidR="00B61C4F" w:rsidRPr="00FA2E20">
              <w:rPr>
                <w:rStyle w:val="Lienhypertexte"/>
                <w:rFonts w:cstheme="minorHAnsi"/>
                <w:noProof/>
              </w:rPr>
              <w:t>Technologies éducatives</w:t>
            </w:r>
            <w:r w:rsidR="00B61C4F">
              <w:rPr>
                <w:noProof/>
                <w:webHidden/>
              </w:rPr>
              <w:tab/>
            </w:r>
            <w:r w:rsidR="00B61C4F">
              <w:rPr>
                <w:noProof/>
                <w:webHidden/>
              </w:rPr>
              <w:fldChar w:fldCharType="begin"/>
            </w:r>
            <w:r w:rsidR="00B61C4F">
              <w:rPr>
                <w:noProof/>
                <w:webHidden/>
              </w:rPr>
              <w:instrText xml:space="preserve"> PAGEREF _Toc97582907 \h </w:instrText>
            </w:r>
            <w:r w:rsidR="00B61C4F">
              <w:rPr>
                <w:noProof/>
                <w:webHidden/>
              </w:rPr>
            </w:r>
            <w:r w:rsidR="00B61C4F">
              <w:rPr>
                <w:noProof/>
                <w:webHidden/>
              </w:rPr>
              <w:fldChar w:fldCharType="separate"/>
            </w:r>
            <w:r w:rsidR="00B61C4F">
              <w:rPr>
                <w:noProof/>
                <w:webHidden/>
              </w:rPr>
              <w:t>3</w:t>
            </w:r>
            <w:r w:rsidR="00B61C4F">
              <w:rPr>
                <w:noProof/>
                <w:webHidden/>
              </w:rPr>
              <w:fldChar w:fldCharType="end"/>
            </w:r>
          </w:hyperlink>
        </w:p>
        <w:p w14:paraId="57E61296" w14:textId="55EE6F2E" w:rsidR="00B61C4F" w:rsidRDefault="00824D8B" w:rsidP="00F80C05">
          <w:pPr>
            <w:pStyle w:val="TM2"/>
            <w:tabs>
              <w:tab w:val="right" w:leader="dot" w:pos="9062"/>
            </w:tabs>
            <w:jc w:val="both"/>
            <w:rPr>
              <w:rFonts w:eastAsiaTheme="minorEastAsia"/>
              <w:noProof/>
              <w:lang w:eastAsia="fr-FR"/>
            </w:rPr>
          </w:pPr>
          <w:hyperlink w:anchor="_Toc97582908" w:history="1">
            <w:r w:rsidR="00B61C4F" w:rsidRPr="00FA2E20">
              <w:rPr>
                <w:rStyle w:val="Lienhypertexte"/>
                <w:rFonts w:cstheme="minorHAnsi"/>
                <w:noProof/>
              </w:rPr>
              <w:t>Districts scolaires</w:t>
            </w:r>
            <w:r w:rsidR="00B61C4F">
              <w:rPr>
                <w:noProof/>
                <w:webHidden/>
              </w:rPr>
              <w:tab/>
            </w:r>
            <w:r w:rsidR="00B61C4F">
              <w:rPr>
                <w:noProof/>
                <w:webHidden/>
              </w:rPr>
              <w:fldChar w:fldCharType="begin"/>
            </w:r>
            <w:r w:rsidR="00B61C4F">
              <w:rPr>
                <w:noProof/>
                <w:webHidden/>
              </w:rPr>
              <w:instrText xml:space="preserve"> PAGEREF _Toc97582908 \h </w:instrText>
            </w:r>
            <w:r w:rsidR="00B61C4F">
              <w:rPr>
                <w:noProof/>
                <w:webHidden/>
              </w:rPr>
            </w:r>
            <w:r w:rsidR="00B61C4F">
              <w:rPr>
                <w:noProof/>
                <w:webHidden/>
              </w:rPr>
              <w:fldChar w:fldCharType="separate"/>
            </w:r>
            <w:r w:rsidR="00B61C4F">
              <w:rPr>
                <w:noProof/>
                <w:webHidden/>
              </w:rPr>
              <w:t>4</w:t>
            </w:r>
            <w:r w:rsidR="00B61C4F">
              <w:rPr>
                <w:noProof/>
                <w:webHidden/>
              </w:rPr>
              <w:fldChar w:fldCharType="end"/>
            </w:r>
          </w:hyperlink>
        </w:p>
        <w:p w14:paraId="3063DA83" w14:textId="043B104C" w:rsidR="00B61C4F" w:rsidRDefault="00824D8B" w:rsidP="00F80C05">
          <w:pPr>
            <w:pStyle w:val="TM1"/>
            <w:tabs>
              <w:tab w:val="right" w:leader="dot" w:pos="9062"/>
            </w:tabs>
            <w:jc w:val="both"/>
            <w:rPr>
              <w:rFonts w:eastAsiaTheme="minorEastAsia"/>
              <w:noProof/>
              <w:lang w:eastAsia="fr-FR"/>
            </w:rPr>
          </w:pPr>
          <w:hyperlink w:anchor="_Toc97582909" w:history="1">
            <w:r w:rsidR="00B61C4F" w:rsidRPr="00FA2E20">
              <w:rPr>
                <w:rStyle w:val="Lienhypertexte"/>
                <w:noProof/>
              </w:rPr>
              <w:t>Préparation des données</w:t>
            </w:r>
            <w:r w:rsidR="00B61C4F">
              <w:rPr>
                <w:noProof/>
                <w:webHidden/>
              </w:rPr>
              <w:tab/>
            </w:r>
            <w:r w:rsidR="00B61C4F">
              <w:rPr>
                <w:noProof/>
                <w:webHidden/>
              </w:rPr>
              <w:fldChar w:fldCharType="begin"/>
            </w:r>
            <w:r w:rsidR="00B61C4F">
              <w:rPr>
                <w:noProof/>
                <w:webHidden/>
              </w:rPr>
              <w:instrText xml:space="preserve"> PAGEREF _Toc97582909 \h </w:instrText>
            </w:r>
            <w:r w:rsidR="00B61C4F">
              <w:rPr>
                <w:noProof/>
                <w:webHidden/>
              </w:rPr>
            </w:r>
            <w:r w:rsidR="00B61C4F">
              <w:rPr>
                <w:noProof/>
                <w:webHidden/>
              </w:rPr>
              <w:fldChar w:fldCharType="separate"/>
            </w:r>
            <w:r w:rsidR="00B61C4F">
              <w:rPr>
                <w:noProof/>
                <w:webHidden/>
              </w:rPr>
              <w:t>5</w:t>
            </w:r>
            <w:r w:rsidR="00B61C4F">
              <w:rPr>
                <w:noProof/>
                <w:webHidden/>
              </w:rPr>
              <w:fldChar w:fldCharType="end"/>
            </w:r>
          </w:hyperlink>
        </w:p>
        <w:p w14:paraId="01C29B27" w14:textId="642DB87D" w:rsidR="00B61C4F" w:rsidRDefault="00824D8B" w:rsidP="00F80C05">
          <w:pPr>
            <w:pStyle w:val="TM1"/>
            <w:tabs>
              <w:tab w:val="right" w:leader="dot" w:pos="9062"/>
            </w:tabs>
            <w:jc w:val="both"/>
            <w:rPr>
              <w:rFonts w:eastAsiaTheme="minorEastAsia"/>
              <w:noProof/>
              <w:lang w:eastAsia="fr-FR"/>
            </w:rPr>
          </w:pPr>
          <w:hyperlink w:anchor="_Toc97582910" w:history="1">
            <w:r w:rsidR="00B61C4F" w:rsidRPr="00FA2E20">
              <w:rPr>
                <w:rStyle w:val="Lienhypertexte"/>
                <w:rFonts w:cstheme="minorHAnsi"/>
                <w:noProof/>
              </w:rPr>
              <w:t>Connectivité et engagement numérique</w:t>
            </w:r>
            <w:r w:rsidR="00B61C4F">
              <w:rPr>
                <w:noProof/>
                <w:webHidden/>
              </w:rPr>
              <w:tab/>
            </w:r>
            <w:r w:rsidR="00B61C4F">
              <w:rPr>
                <w:noProof/>
                <w:webHidden/>
              </w:rPr>
              <w:fldChar w:fldCharType="begin"/>
            </w:r>
            <w:r w:rsidR="00B61C4F">
              <w:rPr>
                <w:noProof/>
                <w:webHidden/>
              </w:rPr>
              <w:instrText xml:space="preserve"> PAGEREF _Toc97582910 \h </w:instrText>
            </w:r>
            <w:r w:rsidR="00B61C4F">
              <w:rPr>
                <w:noProof/>
                <w:webHidden/>
              </w:rPr>
            </w:r>
            <w:r w:rsidR="00B61C4F">
              <w:rPr>
                <w:noProof/>
                <w:webHidden/>
              </w:rPr>
              <w:fldChar w:fldCharType="separate"/>
            </w:r>
            <w:r w:rsidR="00B61C4F">
              <w:rPr>
                <w:noProof/>
                <w:webHidden/>
              </w:rPr>
              <w:t>5</w:t>
            </w:r>
            <w:r w:rsidR="00B61C4F">
              <w:rPr>
                <w:noProof/>
                <w:webHidden/>
              </w:rPr>
              <w:fldChar w:fldCharType="end"/>
            </w:r>
          </w:hyperlink>
        </w:p>
        <w:p w14:paraId="21C6C631" w14:textId="0FDEAEDD" w:rsidR="00B61C4F" w:rsidRDefault="00824D8B" w:rsidP="00F80C05">
          <w:pPr>
            <w:pStyle w:val="TM2"/>
            <w:tabs>
              <w:tab w:val="right" w:leader="dot" w:pos="9062"/>
            </w:tabs>
            <w:jc w:val="both"/>
            <w:rPr>
              <w:rFonts w:eastAsiaTheme="minorEastAsia"/>
              <w:noProof/>
              <w:lang w:eastAsia="fr-FR"/>
            </w:rPr>
          </w:pPr>
          <w:hyperlink w:anchor="_Toc97582911" w:history="1">
            <w:r w:rsidR="00B61C4F" w:rsidRPr="00FA2E20">
              <w:rPr>
                <w:rStyle w:val="Lienhypertexte"/>
                <w:noProof/>
              </w:rPr>
              <w:t>Informations générales</w:t>
            </w:r>
            <w:r w:rsidR="00B61C4F">
              <w:rPr>
                <w:noProof/>
                <w:webHidden/>
              </w:rPr>
              <w:tab/>
            </w:r>
            <w:r w:rsidR="00B61C4F">
              <w:rPr>
                <w:noProof/>
                <w:webHidden/>
              </w:rPr>
              <w:fldChar w:fldCharType="begin"/>
            </w:r>
            <w:r w:rsidR="00B61C4F">
              <w:rPr>
                <w:noProof/>
                <w:webHidden/>
              </w:rPr>
              <w:instrText xml:space="preserve"> PAGEREF _Toc97582911 \h </w:instrText>
            </w:r>
            <w:r w:rsidR="00B61C4F">
              <w:rPr>
                <w:noProof/>
                <w:webHidden/>
              </w:rPr>
            </w:r>
            <w:r w:rsidR="00B61C4F">
              <w:rPr>
                <w:noProof/>
                <w:webHidden/>
              </w:rPr>
              <w:fldChar w:fldCharType="separate"/>
            </w:r>
            <w:r w:rsidR="00B61C4F">
              <w:rPr>
                <w:noProof/>
                <w:webHidden/>
              </w:rPr>
              <w:t>5</w:t>
            </w:r>
            <w:r w:rsidR="00B61C4F">
              <w:rPr>
                <w:noProof/>
                <w:webHidden/>
              </w:rPr>
              <w:fldChar w:fldCharType="end"/>
            </w:r>
          </w:hyperlink>
        </w:p>
        <w:p w14:paraId="61AE00EB" w14:textId="4E54603D" w:rsidR="00B61C4F" w:rsidRDefault="00824D8B" w:rsidP="00F80C05">
          <w:pPr>
            <w:pStyle w:val="TM2"/>
            <w:tabs>
              <w:tab w:val="right" w:leader="dot" w:pos="9062"/>
            </w:tabs>
            <w:jc w:val="both"/>
            <w:rPr>
              <w:rFonts w:eastAsiaTheme="minorEastAsia"/>
              <w:noProof/>
              <w:lang w:eastAsia="fr-FR"/>
            </w:rPr>
          </w:pPr>
          <w:hyperlink w:anchor="_Toc97582912" w:history="1">
            <w:r w:rsidR="00B61C4F" w:rsidRPr="00FA2E20">
              <w:rPr>
                <w:rStyle w:val="Lienhypertexte"/>
                <w:noProof/>
              </w:rPr>
              <w:t>Etat de la connectivité au niveau des comtés</w:t>
            </w:r>
            <w:r w:rsidR="00B61C4F">
              <w:rPr>
                <w:noProof/>
                <w:webHidden/>
              </w:rPr>
              <w:tab/>
            </w:r>
            <w:r w:rsidR="00B61C4F">
              <w:rPr>
                <w:noProof/>
                <w:webHidden/>
              </w:rPr>
              <w:fldChar w:fldCharType="begin"/>
            </w:r>
            <w:r w:rsidR="00B61C4F">
              <w:rPr>
                <w:noProof/>
                <w:webHidden/>
              </w:rPr>
              <w:instrText xml:space="preserve"> PAGEREF _Toc97582912 \h </w:instrText>
            </w:r>
            <w:r w:rsidR="00B61C4F">
              <w:rPr>
                <w:noProof/>
                <w:webHidden/>
              </w:rPr>
            </w:r>
            <w:r w:rsidR="00B61C4F">
              <w:rPr>
                <w:noProof/>
                <w:webHidden/>
              </w:rPr>
              <w:fldChar w:fldCharType="separate"/>
            </w:r>
            <w:r w:rsidR="00B61C4F">
              <w:rPr>
                <w:noProof/>
                <w:webHidden/>
              </w:rPr>
              <w:t>6</w:t>
            </w:r>
            <w:r w:rsidR="00B61C4F">
              <w:rPr>
                <w:noProof/>
                <w:webHidden/>
              </w:rPr>
              <w:fldChar w:fldCharType="end"/>
            </w:r>
          </w:hyperlink>
        </w:p>
        <w:p w14:paraId="6B663446" w14:textId="783367CE" w:rsidR="00B61C4F" w:rsidRDefault="00824D8B" w:rsidP="00F80C05">
          <w:pPr>
            <w:pStyle w:val="TM1"/>
            <w:tabs>
              <w:tab w:val="right" w:leader="dot" w:pos="9062"/>
            </w:tabs>
            <w:jc w:val="both"/>
            <w:rPr>
              <w:rFonts w:eastAsiaTheme="minorEastAsia"/>
              <w:noProof/>
              <w:lang w:eastAsia="fr-FR"/>
            </w:rPr>
          </w:pPr>
          <w:hyperlink w:anchor="_Toc97582913" w:history="1">
            <w:r w:rsidR="00B61C4F" w:rsidRPr="00FA2E20">
              <w:rPr>
                <w:rStyle w:val="Lienhypertexte"/>
                <w:rFonts w:cstheme="minorHAnsi"/>
                <w:noProof/>
              </w:rPr>
              <w:t>COVID-19 et apprentissage à distance</w:t>
            </w:r>
            <w:r w:rsidR="00B61C4F">
              <w:rPr>
                <w:noProof/>
                <w:webHidden/>
              </w:rPr>
              <w:tab/>
            </w:r>
            <w:r w:rsidR="00B61C4F">
              <w:rPr>
                <w:noProof/>
                <w:webHidden/>
              </w:rPr>
              <w:fldChar w:fldCharType="begin"/>
            </w:r>
            <w:r w:rsidR="00B61C4F">
              <w:rPr>
                <w:noProof/>
                <w:webHidden/>
              </w:rPr>
              <w:instrText xml:space="preserve"> PAGEREF _Toc97582913 \h </w:instrText>
            </w:r>
            <w:r w:rsidR="00B61C4F">
              <w:rPr>
                <w:noProof/>
                <w:webHidden/>
              </w:rPr>
            </w:r>
            <w:r w:rsidR="00B61C4F">
              <w:rPr>
                <w:noProof/>
                <w:webHidden/>
              </w:rPr>
              <w:fldChar w:fldCharType="separate"/>
            </w:r>
            <w:r w:rsidR="00B61C4F">
              <w:rPr>
                <w:noProof/>
                <w:webHidden/>
              </w:rPr>
              <w:t>6</w:t>
            </w:r>
            <w:r w:rsidR="00B61C4F">
              <w:rPr>
                <w:noProof/>
                <w:webHidden/>
              </w:rPr>
              <w:fldChar w:fldCharType="end"/>
            </w:r>
          </w:hyperlink>
        </w:p>
        <w:p w14:paraId="4AF059C4" w14:textId="43275872" w:rsidR="00B61C4F" w:rsidRDefault="00824D8B" w:rsidP="00F80C05">
          <w:pPr>
            <w:pStyle w:val="TM2"/>
            <w:tabs>
              <w:tab w:val="right" w:leader="dot" w:pos="9062"/>
            </w:tabs>
            <w:jc w:val="both"/>
            <w:rPr>
              <w:rFonts w:eastAsiaTheme="minorEastAsia"/>
              <w:noProof/>
              <w:lang w:eastAsia="fr-FR"/>
            </w:rPr>
          </w:pPr>
          <w:hyperlink w:anchor="_Toc97582914" w:history="1">
            <w:r w:rsidR="00B61C4F" w:rsidRPr="00FA2E20">
              <w:rPr>
                <w:rStyle w:val="Lienhypertexte"/>
                <w:noProof/>
              </w:rPr>
              <w:t>Engagement en fonction du temps en 2020</w:t>
            </w:r>
            <w:r w:rsidR="00B61C4F">
              <w:rPr>
                <w:noProof/>
                <w:webHidden/>
              </w:rPr>
              <w:tab/>
            </w:r>
            <w:r w:rsidR="00B61C4F">
              <w:rPr>
                <w:noProof/>
                <w:webHidden/>
              </w:rPr>
              <w:fldChar w:fldCharType="begin"/>
            </w:r>
            <w:r w:rsidR="00B61C4F">
              <w:rPr>
                <w:noProof/>
                <w:webHidden/>
              </w:rPr>
              <w:instrText xml:space="preserve"> PAGEREF _Toc97582914 \h </w:instrText>
            </w:r>
            <w:r w:rsidR="00B61C4F">
              <w:rPr>
                <w:noProof/>
                <w:webHidden/>
              </w:rPr>
            </w:r>
            <w:r w:rsidR="00B61C4F">
              <w:rPr>
                <w:noProof/>
                <w:webHidden/>
              </w:rPr>
              <w:fldChar w:fldCharType="separate"/>
            </w:r>
            <w:r w:rsidR="00B61C4F">
              <w:rPr>
                <w:noProof/>
                <w:webHidden/>
              </w:rPr>
              <w:t>6</w:t>
            </w:r>
            <w:r w:rsidR="00B61C4F">
              <w:rPr>
                <w:noProof/>
                <w:webHidden/>
              </w:rPr>
              <w:fldChar w:fldCharType="end"/>
            </w:r>
          </w:hyperlink>
        </w:p>
        <w:p w14:paraId="01B08342" w14:textId="140CAF72" w:rsidR="00B61C4F" w:rsidRDefault="00824D8B" w:rsidP="00F80C05">
          <w:pPr>
            <w:pStyle w:val="TM1"/>
            <w:tabs>
              <w:tab w:val="right" w:leader="dot" w:pos="9062"/>
            </w:tabs>
            <w:jc w:val="both"/>
            <w:rPr>
              <w:rFonts w:eastAsiaTheme="minorEastAsia"/>
              <w:noProof/>
              <w:lang w:eastAsia="fr-FR"/>
            </w:rPr>
          </w:pPr>
          <w:hyperlink w:anchor="_Toc97582915" w:history="1">
            <w:r w:rsidR="00B61C4F" w:rsidRPr="00FA2E20">
              <w:rPr>
                <w:rStyle w:val="Lienhypertexte"/>
                <w:rFonts w:cstheme="minorHAnsi"/>
                <w:noProof/>
              </w:rPr>
              <w:t>Engagement étudiant et technologies éducatives</w:t>
            </w:r>
            <w:r w:rsidR="00B61C4F">
              <w:rPr>
                <w:noProof/>
                <w:webHidden/>
              </w:rPr>
              <w:tab/>
            </w:r>
            <w:r w:rsidR="00B61C4F">
              <w:rPr>
                <w:noProof/>
                <w:webHidden/>
              </w:rPr>
              <w:fldChar w:fldCharType="begin"/>
            </w:r>
            <w:r w:rsidR="00B61C4F">
              <w:rPr>
                <w:noProof/>
                <w:webHidden/>
              </w:rPr>
              <w:instrText xml:space="preserve"> PAGEREF _Toc97582915 \h </w:instrText>
            </w:r>
            <w:r w:rsidR="00B61C4F">
              <w:rPr>
                <w:noProof/>
                <w:webHidden/>
              </w:rPr>
            </w:r>
            <w:r w:rsidR="00B61C4F">
              <w:rPr>
                <w:noProof/>
                <w:webHidden/>
              </w:rPr>
              <w:fldChar w:fldCharType="separate"/>
            </w:r>
            <w:r w:rsidR="00B61C4F">
              <w:rPr>
                <w:noProof/>
                <w:webHidden/>
              </w:rPr>
              <w:t>7</w:t>
            </w:r>
            <w:r w:rsidR="00B61C4F">
              <w:rPr>
                <w:noProof/>
                <w:webHidden/>
              </w:rPr>
              <w:fldChar w:fldCharType="end"/>
            </w:r>
          </w:hyperlink>
        </w:p>
        <w:p w14:paraId="6BA8204A" w14:textId="4446A723" w:rsidR="00B61C4F" w:rsidRDefault="00824D8B" w:rsidP="00F80C05">
          <w:pPr>
            <w:pStyle w:val="TM2"/>
            <w:tabs>
              <w:tab w:val="right" w:leader="dot" w:pos="9062"/>
            </w:tabs>
            <w:jc w:val="both"/>
            <w:rPr>
              <w:rFonts w:eastAsiaTheme="minorEastAsia"/>
              <w:noProof/>
              <w:lang w:eastAsia="fr-FR"/>
            </w:rPr>
          </w:pPr>
          <w:hyperlink w:anchor="_Toc97582916" w:history="1">
            <w:r w:rsidR="00B61C4F" w:rsidRPr="00FA2E20">
              <w:rPr>
                <w:rStyle w:val="Lienhypertexte"/>
                <w:noProof/>
              </w:rPr>
              <w:t>Catégories et secteurs des produits d’apprentissage</w:t>
            </w:r>
            <w:r w:rsidR="00B61C4F">
              <w:rPr>
                <w:noProof/>
                <w:webHidden/>
              </w:rPr>
              <w:tab/>
            </w:r>
            <w:r w:rsidR="00B61C4F">
              <w:rPr>
                <w:noProof/>
                <w:webHidden/>
              </w:rPr>
              <w:fldChar w:fldCharType="begin"/>
            </w:r>
            <w:r w:rsidR="00B61C4F">
              <w:rPr>
                <w:noProof/>
                <w:webHidden/>
              </w:rPr>
              <w:instrText xml:space="preserve"> PAGEREF _Toc97582916 \h </w:instrText>
            </w:r>
            <w:r w:rsidR="00B61C4F">
              <w:rPr>
                <w:noProof/>
                <w:webHidden/>
              </w:rPr>
            </w:r>
            <w:r w:rsidR="00B61C4F">
              <w:rPr>
                <w:noProof/>
                <w:webHidden/>
              </w:rPr>
              <w:fldChar w:fldCharType="separate"/>
            </w:r>
            <w:r w:rsidR="00B61C4F">
              <w:rPr>
                <w:noProof/>
                <w:webHidden/>
              </w:rPr>
              <w:t>7</w:t>
            </w:r>
            <w:r w:rsidR="00B61C4F">
              <w:rPr>
                <w:noProof/>
                <w:webHidden/>
              </w:rPr>
              <w:fldChar w:fldCharType="end"/>
            </w:r>
          </w:hyperlink>
        </w:p>
        <w:p w14:paraId="2BEBA242" w14:textId="3CDA9DCC" w:rsidR="00B61C4F" w:rsidRDefault="00824D8B" w:rsidP="00F80C05">
          <w:pPr>
            <w:pStyle w:val="TM2"/>
            <w:tabs>
              <w:tab w:val="right" w:leader="dot" w:pos="9062"/>
            </w:tabs>
            <w:jc w:val="both"/>
            <w:rPr>
              <w:rFonts w:eastAsiaTheme="minorEastAsia"/>
              <w:noProof/>
              <w:lang w:eastAsia="fr-FR"/>
            </w:rPr>
          </w:pPr>
          <w:hyperlink w:anchor="_Toc97582917" w:history="1">
            <w:r w:rsidR="00B61C4F" w:rsidRPr="00FA2E20">
              <w:rPr>
                <w:rStyle w:val="Lienhypertexte"/>
                <w:noProof/>
              </w:rPr>
              <w:t>Produits et fournisseurs prédominants</w:t>
            </w:r>
            <w:r w:rsidR="00B61C4F">
              <w:rPr>
                <w:noProof/>
                <w:webHidden/>
              </w:rPr>
              <w:tab/>
            </w:r>
            <w:r w:rsidR="00B61C4F">
              <w:rPr>
                <w:noProof/>
                <w:webHidden/>
              </w:rPr>
              <w:fldChar w:fldCharType="begin"/>
            </w:r>
            <w:r w:rsidR="00B61C4F">
              <w:rPr>
                <w:noProof/>
                <w:webHidden/>
              </w:rPr>
              <w:instrText xml:space="preserve"> PAGEREF _Toc97582917 \h </w:instrText>
            </w:r>
            <w:r w:rsidR="00B61C4F">
              <w:rPr>
                <w:noProof/>
                <w:webHidden/>
              </w:rPr>
            </w:r>
            <w:r w:rsidR="00B61C4F">
              <w:rPr>
                <w:noProof/>
                <w:webHidden/>
              </w:rPr>
              <w:fldChar w:fldCharType="separate"/>
            </w:r>
            <w:r w:rsidR="00B61C4F">
              <w:rPr>
                <w:noProof/>
                <w:webHidden/>
              </w:rPr>
              <w:t>7</w:t>
            </w:r>
            <w:r w:rsidR="00B61C4F">
              <w:rPr>
                <w:noProof/>
                <w:webHidden/>
              </w:rPr>
              <w:fldChar w:fldCharType="end"/>
            </w:r>
          </w:hyperlink>
        </w:p>
        <w:p w14:paraId="09BC93A0" w14:textId="678ADA1F" w:rsidR="00B61C4F" w:rsidRDefault="00824D8B" w:rsidP="00F80C05">
          <w:pPr>
            <w:pStyle w:val="TM1"/>
            <w:tabs>
              <w:tab w:val="right" w:leader="dot" w:pos="9062"/>
            </w:tabs>
            <w:jc w:val="both"/>
            <w:rPr>
              <w:rFonts w:eastAsiaTheme="minorEastAsia"/>
              <w:noProof/>
              <w:lang w:eastAsia="fr-FR"/>
            </w:rPr>
          </w:pPr>
          <w:hyperlink w:anchor="_Toc97582918" w:history="1">
            <w:r w:rsidR="00B61C4F" w:rsidRPr="00FA2E20">
              <w:rPr>
                <w:rStyle w:val="Lienhypertexte"/>
                <w:rFonts w:cstheme="minorHAnsi"/>
                <w:noProof/>
              </w:rPr>
              <w:t>Engagement étudiant et facteurs sociogéographiques</w:t>
            </w:r>
            <w:r w:rsidR="00B61C4F">
              <w:rPr>
                <w:noProof/>
                <w:webHidden/>
              </w:rPr>
              <w:tab/>
            </w:r>
            <w:r w:rsidR="00B61C4F">
              <w:rPr>
                <w:noProof/>
                <w:webHidden/>
              </w:rPr>
              <w:fldChar w:fldCharType="begin"/>
            </w:r>
            <w:r w:rsidR="00B61C4F">
              <w:rPr>
                <w:noProof/>
                <w:webHidden/>
              </w:rPr>
              <w:instrText xml:space="preserve"> PAGEREF _Toc97582918 \h </w:instrText>
            </w:r>
            <w:r w:rsidR="00B61C4F">
              <w:rPr>
                <w:noProof/>
                <w:webHidden/>
              </w:rPr>
            </w:r>
            <w:r w:rsidR="00B61C4F">
              <w:rPr>
                <w:noProof/>
                <w:webHidden/>
              </w:rPr>
              <w:fldChar w:fldCharType="separate"/>
            </w:r>
            <w:r w:rsidR="00B61C4F">
              <w:rPr>
                <w:noProof/>
                <w:webHidden/>
              </w:rPr>
              <w:t>8</w:t>
            </w:r>
            <w:r w:rsidR="00B61C4F">
              <w:rPr>
                <w:noProof/>
                <w:webHidden/>
              </w:rPr>
              <w:fldChar w:fldCharType="end"/>
            </w:r>
          </w:hyperlink>
        </w:p>
        <w:p w14:paraId="227805D8" w14:textId="61F0C8A8" w:rsidR="00B61C4F" w:rsidRDefault="00824D8B" w:rsidP="00F80C05">
          <w:pPr>
            <w:pStyle w:val="TM2"/>
            <w:tabs>
              <w:tab w:val="right" w:leader="dot" w:pos="9062"/>
            </w:tabs>
            <w:jc w:val="both"/>
            <w:rPr>
              <w:rFonts w:eastAsiaTheme="minorEastAsia"/>
              <w:noProof/>
              <w:lang w:eastAsia="fr-FR"/>
            </w:rPr>
          </w:pPr>
          <w:hyperlink w:anchor="_Toc97582919" w:history="1">
            <w:r w:rsidR="00B61C4F" w:rsidRPr="00FA2E20">
              <w:rPr>
                <w:rStyle w:val="Lienhypertexte"/>
                <w:noProof/>
              </w:rPr>
              <w:t>Répartition géographique des engagements étudiants</w:t>
            </w:r>
            <w:r w:rsidR="00B61C4F">
              <w:rPr>
                <w:noProof/>
                <w:webHidden/>
              </w:rPr>
              <w:tab/>
            </w:r>
            <w:r w:rsidR="00B61C4F">
              <w:rPr>
                <w:noProof/>
                <w:webHidden/>
              </w:rPr>
              <w:fldChar w:fldCharType="begin"/>
            </w:r>
            <w:r w:rsidR="00B61C4F">
              <w:rPr>
                <w:noProof/>
                <w:webHidden/>
              </w:rPr>
              <w:instrText xml:space="preserve"> PAGEREF _Toc97582919 \h </w:instrText>
            </w:r>
            <w:r w:rsidR="00B61C4F">
              <w:rPr>
                <w:noProof/>
                <w:webHidden/>
              </w:rPr>
            </w:r>
            <w:r w:rsidR="00B61C4F">
              <w:rPr>
                <w:noProof/>
                <w:webHidden/>
              </w:rPr>
              <w:fldChar w:fldCharType="separate"/>
            </w:r>
            <w:r w:rsidR="00B61C4F">
              <w:rPr>
                <w:noProof/>
                <w:webHidden/>
              </w:rPr>
              <w:t>8</w:t>
            </w:r>
            <w:r w:rsidR="00B61C4F">
              <w:rPr>
                <w:noProof/>
                <w:webHidden/>
              </w:rPr>
              <w:fldChar w:fldCharType="end"/>
            </w:r>
          </w:hyperlink>
        </w:p>
        <w:p w14:paraId="7184E317" w14:textId="540D2143" w:rsidR="00B61C4F" w:rsidRDefault="00824D8B" w:rsidP="00F80C05">
          <w:pPr>
            <w:pStyle w:val="TM2"/>
            <w:tabs>
              <w:tab w:val="right" w:leader="dot" w:pos="9062"/>
            </w:tabs>
            <w:jc w:val="both"/>
            <w:rPr>
              <w:rFonts w:eastAsiaTheme="minorEastAsia"/>
              <w:noProof/>
              <w:lang w:eastAsia="fr-FR"/>
            </w:rPr>
          </w:pPr>
          <w:hyperlink w:anchor="_Toc97582920" w:history="1">
            <w:r w:rsidR="00B61C4F" w:rsidRPr="00FA2E20">
              <w:rPr>
                <w:rStyle w:val="Lienhypertexte"/>
                <w:noProof/>
              </w:rPr>
              <w:t>Engagements des communautés noire et hispanique</w:t>
            </w:r>
            <w:r w:rsidR="00B61C4F">
              <w:rPr>
                <w:noProof/>
                <w:webHidden/>
              </w:rPr>
              <w:tab/>
            </w:r>
            <w:r w:rsidR="00B61C4F">
              <w:rPr>
                <w:noProof/>
                <w:webHidden/>
              </w:rPr>
              <w:fldChar w:fldCharType="begin"/>
            </w:r>
            <w:r w:rsidR="00B61C4F">
              <w:rPr>
                <w:noProof/>
                <w:webHidden/>
              </w:rPr>
              <w:instrText xml:space="preserve"> PAGEREF _Toc97582920 \h </w:instrText>
            </w:r>
            <w:r w:rsidR="00B61C4F">
              <w:rPr>
                <w:noProof/>
                <w:webHidden/>
              </w:rPr>
            </w:r>
            <w:r w:rsidR="00B61C4F">
              <w:rPr>
                <w:noProof/>
                <w:webHidden/>
              </w:rPr>
              <w:fldChar w:fldCharType="separate"/>
            </w:r>
            <w:r w:rsidR="00B61C4F">
              <w:rPr>
                <w:noProof/>
                <w:webHidden/>
              </w:rPr>
              <w:t>8</w:t>
            </w:r>
            <w:r w:rsidR="00B61C4F">
              <w:rPr>
                <w:noProof/>
                <w:webHidden/>
              </w:rPr>
              <w:fldChar w:fldCharType="end"/>
            </w:r>
          </w:hyperlink>
        </w:p>
        <w:p w14:paraId="1208EF55" w14:textId="21859C07" w:rsidR="00B61C4F" w:rsidRDefault="00824D8B" w:rsidP="00F80C05">
          <w:pPr>
            <w:pStyle w:val="TM1"/>
            <w:tabs>
              <w:tab w:val="right" w:leader="dot" w:pos="9062"/>
            </w:tabs>
            <w:jc w:val="both"/>
            <w:rPr>
              <w:rFonts w:eastAsiaTheme="minorEastAsia"/>
              <w:noProof/>
              <w:lang w:eastAsia="fr-FR"/>
            </w:rPr>
          </w:pPr>
          <w:hyperlink w:anchor="_Toc97582921" w:history="1">
            <w:r w:rsidR="00B61C4F" w:rsidRPr="00FA2E20">
              <w:rPr>
                <w:rStyle w:val="Lienhypertexte"/>
                <w:rFonts w:cstheme="minorHAnsi"/>
                <w:noProof/>
              </w:rPr>
              <w:t>Engagement étudiant et politiques d’Etat</w:t>
            </w:r>
            <w:r w:rsidR="00B61C4F">
              <w:rPr>
                <w:noProof/>
                <w:webHidden/>
              </w:rPr>
              <w:tab/>
            </w:r>
            <w:r w:rsidR="00B61C4F">
              <w:rPr>
                <w:noProof/>
                <w:webHidden/>
              </w:rPr>
              <w:fldChar w:fldCharType="begin"/>
            </w:r>
            <w:r w:rsidR="00B61C4F">
              <w:rPr>
                <w:noProof/>
                <w:webHidden/>
              </w:rPr>
              <w:instrText xml:space="preserve"> PAGEREF _Toc97582921 \h </w:instrText>
            </w:r>
            <w:r w:rsidR="00B61C4F">
              <w:rPr>
                <w:noProof/>
                <w:webHidden/>
              </w:rPr>
            </w:r>
            <w:r w:rsidR="00B61C4F">
              <w:rPr>
                <w:noProof/>
                <w:webHidden/>
              </w:rPr>
              <w:fldChar w:fldCharType="separate"/>
            </w:r>
            <w:r w:rsidR="00B61C4F">
              <w:rPr>
                <w:noProof/>
                <w:webHidden/>
              </w:rPr>
              <w:t>8</w:t>
            </w:r>
            <w:r w:rsidR="00B61C4F">
              <w:rPr>
                <w:noProof/>
                <w:webHidden/>
              </w:rPr>
              <w:fldChar w:fldCharType="end"/>
            </w:r>
          </w:hyperlink>
        </w:p>
        <w:p w14:paraId="7BD23AA9" w14:textId="2B2D1517" w:rsidR="00B61C4F" w:rsidRDefault="00824D8B" w:rsidP="00F80C05">
          <w:pPr>
            <w:pStyle w:val="TM2"/>
            <w:tabs>
              <w:tab w:val="right" w:leader="dot" w:pos="9062"/>
            </w:tabs>
            <w:jc w:val="both"/>
            <w:rPr>
              <w:rFonts w:eastAsiaTheme="minorEastAsia"/>
              <w:noProof/>
              <w:lang w:eastAsia="fr-FR"/>
            </w:rPr>
          </w:pPr>
          <w:hyperlink w:anchor="_Toc97582922" w:history="1">
            <w:r w:rsidR="00B61C4F" w:rsidRPr="00FA2E20">
              <w:rPr>
                <w:rStyle w:val="Lienhypertexte"/>
                <w:noProof/>
              </w:rPr>
              <w:t>Dépenses totales locales et fédérales par élève</w:t>
            </w:r>
            <w:r w:rsidR="00B61C4F">
              <w:rPr>
                <w:noProof/>
                <w:webHidden/>
              </w:rPr>
              <w:tab/>
            </w:r>
            <w:r w:rsidR="00B61C4F">
              <w:rPr>
                <w:noProof/>
                <w:webHidden/>
              </w:rPr>
              <w:fldChar w:fldCharType="begin"/>
            </w:r>
            <w:r w:rsidR="00B61C4F">
              <w:rPr>
                <w:noProof/>
                <w:webHidden/>
              </w:rPr>
              <w:instrText xml:space="preserve"> PAGEREF _Toc97582922 \h </w:instrText>
            </w:r>
            <w:r w:rsidR="00B61C4F">
              <w:rPr>
                <w:noProof/>
                <w:webHidden/>
              </w:rPr>
            </w:r>
            <w:r w:rsidR="00B61C4F">
              <w:rPr>
                <w:noProof/>
                <w:webHidden/>
              </w:rPr>
              <w:fldChar w:fldCharType="separate"/>
            </w:r>
            <w:r w:rsidR="00B61C4F">
              <w:rPr>
                <w:noProof/>
                <w:webHidden/>
              </w:rPr>
              <w:t>8</w:t>
            </w:r>
            <w:r w:rsidR="00B61C4F">
              <w:rPr>
                <w:noProof/>
                <w:webHidden/>
              </w:rPr>
              <w:fldChar w:fldCharType="end"/>
            </w:r>
          </w:hyperlink>
        </w:p>
        <w:p w14:paraId="4B215ABB" w14:textId="0D5456FC" w:rsidR="00B61C4F" w:rsidRDefault="00824D8B" w:rsidP="00F80C05">
          <w:pPr>
            <w:pStyle w:val="TM2"/>
            <w:tabs>
              <w:tab w:val="right" w:leader="dot" w:pos="9062"/>
            </w:tabs>
            <w:jc w:val="both"/>
            <w:rPr>
              <w:rFonts w:eastAsiaTheme="minorEastAsia"/>
              <w:noProof/>
              <w:lang w:eastAsia="fr-FR"/>
            </w:rPr>
          </w:pPr>
          <w:hyperlink w:anchor="_Toc97582923" w:history="1">
            <w:r w:rsidR="00B61C4F" w:rsidRPr="00FA2E20">
              <w:rPr>
                <w:rStyle w:val="Lienhypertexte"/>
                <w:noProof/>
              </w:rPr>
              <w:t>Engagement des élèves de foyers modestes</w:t>
            </w:r>
            <w:r w:rsidR="00B61C4F">
              <w:rPr>
                <w:noProof/>
                <w:webHidden/>
              </w:rPr>
              <w:tab/>
            </w:r>
            <w:r w:rsidR="00B61C4F">
              <w:rPr>
                <w:noProof/>
                <w:webHidden/>
              </w:rPr>
              <w:fldChar w:fldCharType="begin"/>
            </w:r>
            <w:r w:rsidR="00B61C4F">
              <w:rPr>
                <w:noProof/>
                <w:webHidden/>
              </w:rPr>
              <w:instrText xml:space="preserve"> PAGEREF _Toc97582923 \h </w:instrText>
            </w:r>
            <w:r w:rsidR="00B61C4F">
              <w:rPr>
                <w:noProof/>
                <w:webHidden/>
              </w:rPr>
            </w:r>
            <w:r w:rsidR="00B61C4F">
              <w:rPr>
                <w:noProof/>
                <w:webHidden/>
              </w:rPr>
              <w:fldChar w:fldCharType="separate"/>
            </w:r>
            <w:r w:rsidR="00B61C4F">
              <w:rPr>
                <w:noProof/>
                <w:webHidden/>
              </w:rPr>
              <w:t>8</w:t>
            </w:r>
            <w:r w:rsidR="00B61C4F">
              <w:rPr>
                <w:noProof/>
                <w:webHidden/>
              </w:rPr>
              <w:fldChar w:fldCharType="end"/>
            </w:r>
          </w:hyperlink>
        </w:p>
        <w:p w14:paraId="59A2A328" w14:textId="6461F4B6" w:rsidR="00B61C4F" w:rsidRDefault="00824D8B" w:rsidP="00F80C05">
          <w:pPr>
            <w:pStyle w:val="TM1"/>
            <w:tabs>
              <w:tab w:val="right" w:leader="dot" w:pos="9062"/>
            </w:tabs>
            <w:jc w:val="both"/>
            <w:rPr>
              <w:rFonts w:eastAsiaTheme="minorEastAsia"/>
              <w:noProof/>
              <w:lang w:eastAsia="fr-FR"/>
            </w:rPr>
          </w:pPr>
          <w:hyperlink w:anchor="_Toc97582924" w:history="1">
            <w:r w:rsidR="00B61C4F" w:rsidRPr="00FA2E20">
              <w:rPr>
                <w:rStyle w:val="Lienhypertexte"/>
                <w:rFonts w:cstheme="minorHAnsi"/>
                <w:noProof/>
              </w:rPr>
              <w:t>Conclusion</w:t>
            </w:r>
            <w:r w:rsidR="00B61C4F">
              <w:rPr>
                <w:noProof/>
                <w:webHidden/>
              </w:rPr>
              <w:tab/>
            </w:r>
            <w:r w:rsidR="00B61C4F">
              <w:rPr>
                <w:noProof/>
                <w:webHidden/>
              </w:rPr>
              <w:fldChar w:fldCharType="begin"/>
            </w:r>
            <w:r w:rsidR="00B61C4F">
              <w:rPr>
                <w:noProof/>
                <w:webHidden/>
              </w:rPr>
              <w:instrText xml:space="preserve"> PAGEREF _Toc97582924 \h </w:instrText>
            </w:r>
            <w:r w:rsidR="00B61C4F">
              <w:rPr>
                <w:noProof/>
                <w:webHidden/>
              </w:rPr>
            </w:r>
            <w:r w:rsidR="00B61C4F">
              <w:rPr>
                <w:noProof/>
                <w:webHidden/>
              </w:rPr>
              <w:fldChar w:fldCharType="separate"/>
            </w:r>
            <w:r w:rsidR="00B61C4F">
              <w:rPr>
                <w:noProof/>
                <w:webHidden/>
              </w:rPr>
              <w:t>8</w:t>
            </w:r>
            <w:r w:rsidR="00B61C4F">
              <w:rPr>
                <w:noProof/>
                <w:webHidden/>
              </w:rPr>
              <w:fldChar w:fldCharType="end"/>
            </w:r>
          </w:hyperlink>
        </w:p>
        <w:p w14:paraId="702D3EC3" w14:textId="4F5A0C99" w:rsidR="00E933D2" w:rsidRPr="003615A1" w:rsidRDefault="00E933D2" w:rsidP="00F80C05">
          <w:pPr>
            <w:jc w:val="both"/>
            <w:rPr>
              <w:rFonts w:cstheme="minorHAnsi"/>
            </w:rPr>
          </w:pPr>
          <w:r w:rsidRPr="003615A1">
            <w:rPr>
              <w:rFonts w:cstheme="minorHAnsi"/>
              <w:b/>
              <w:bCs/>
            </w:rPr>
            <w:fldChar w:fldCharType="end"/>
          </w:r>
        </w:p>
      </w:sdtContent>
    </w:sdt>
    <w:p w14:paraId="02FE71D3" w14:textId="3A93EB81" w:rsidR="004D5DF0" w:rsidRPr="003615A1" w:rsidRDefault="004D5DF0" w:rsidP="00F80C05">
      <w:pPr>
        <w:jc w:val="both"/>
        <w:rPr>
          <w:rFonts w:cstheme="minorHAnsi"/>
        </w:rPr>
      </w:pPr>
    </w:p>
    <w:p w14:paraId="3B4ED5F7" w14:textId="5A73349B" w:rsidR="00CA12FC" w:rsidRDefault="00CA12FC" w:rsidP="00F80C05">
      <w:pPr>
        <w:jc w:val="both"/>
        <w:rPr>
          <w:rFonts w:cstheme="minorHAnsi"/>
        </w:rPr>
      </w:pPr>
    </w:p>
    <w:p w14:paraId="10B600EB" w14:textId="314DEC59" w:rsidR="00CA12FC" w:rsidRDefault="00CA12FC" w:rsidP="00F80C05">
      <w:pPr>
        <w:jc w:val="both"/>
        <w:rPr>
          <w:rFonts w:cstheme="minorHAnsi"/>
        </w:rPr>
      </w:pPr>
    </w:p>
    <w:p w14:paraId="1570D5EC" w14:textId="24CB6C11" w:rsidR="00CA12FC" w:rsidRDefault="00CA12FC" w:rsidP="00F80C05">
      <w:pPr>
        <w:jc w:val="both"/>
        <w:rPr>
          <w:rFonts w:cstheme="minorHAnsi"/>
        </w:rPr>
      </w:pPr>
    </w:p>
    <w:p w14:paraId="2AFD9DE5" w14:textId="5E9F2C3D" w:rsidR="00CA12FC" w:rsidRDefault="00CA12FC" w:rsidP="00F80C05">
      <w:pPr>
        <w:jc w:val="both"/>
        <w:rPr>
          <w:rFonts w:cstheme="minorHAnsi"/>
        </w:rPr>
      </w:pPr>
    </w:p>
    <w:p w14:paraId="1B70F608" w14:textId="579B4A86" w:rsidR="00CA12FC" w:rsidRDefault="00CA12FC" w:rsidP="00F80C05">
      <w:pPr>
        <w:jc w:val="both"/>
        <w:rPr>
          <w:rFonts w:cstheme="minorHAnsi"/>
        </w:rPr>
      </w:pPr>
    </w:p>
    <w:p w14:paraId="7B86EAAA" w14:textId="77777777" w:rsidR="00CA12FC" w:rsidRPr="003615A1" w:rsidRDefault="00CA12FC" w:rsidP="00F80C05">
      <w:pPr>
        <w:jc w:val="both"/>
        <w:rPr>
          <w:rFonts w:cstheme="minorHAnsi"/>
        </w:rPr>
      </w:pPr>
    </w:p>
    <w:p w14:paraId="2A0A5E39" w14:textId="6ACD8BE4" w:rsidR="008A5C41" w:rsidRPr="003615A1" w:rsidRDefault="008A5C41" w:rsidP="00F80C05">
      <w:pPr>
        <w:jc w:val="both"/>
        <w:rPr>
          <w:rFonts w:cstheme="minorHAnsi"/>
        </w:rPr>
      </w:pPr>
    </w:p>
    <w:p w14:paraId="6A7CAC33" w14:textId="4BE722D4" w:rsidR="008A5C41" w:rsidRPr="003615A1" w:rsidRDefault="008A5C41" w:rsidP="00F80C05">
      <w:pPr>
        <w:jc w:val="both"/>
        <w:rPr>
          <w:rFonts w:cstheme="minorHAnsi"/>
        </w:rPr>
      </w:pPr>
    </w:p>
    <w:p w14:paraId="7D2FF3FB" w14:textId="3BAF613D" w:rsidR="008A5C41" w:rsidRPr="003615A1" w:rsidRDefault="008A5C41" w:rsidP="00F80C05">
      <w:pPr>
        <w:pStyle w:val="Titre1"/>
        <w:jc w:val="both"/>
        <w:rPr>
          <w:rFonts w:asciiTheme="minorHAnsi" w:hAnsiTheme="minorHAnsi" w:cstheme="minorHAnsi"/>
        </w:rPr>
      </w:pPr>
      <w:bookmarkStart w:id="0" w:name="_Toc97582903"/>
      <w:r w:rsidRPr="003615A1">
        <w:rPr>
          <w:rFonts w:asciiTheme="minorHAnsi" w:hAnsiTheme="minorHAnsi" w:cstheme="minorHAnsi"/>
        </w:rPr>
        <w:lastRenderedPageBreak/>
        <w:t>Introduction</w:t>
      </w:r>
      <w:bookmarkEnd w:id="0"/>
    </w:p>
    <w:p w14:paraId="52324171" w14:textId="6D05758C" w:rsidR="008A5C41" w:rsidRPr="003615A1" w:rsidRDefault="008A5C41" w:rsidP="00F80C05">
      <w:pPr>
        <w:jc w:val="both"/>
        <w:rPr>
          <w:rFonts w:cstheme="minorHAnsi"/>
        </w:rPr>
      </w:pPr>
    </w:p>
    <w:p w14:paraId="01683016" w14:textId="28EF86B6" w:rsidR="00D159E4" w:rsidRPr="003615A1" w:rsidRDefault="00D105F5" w:rsidP="00F80C05">
      <w:pPr>
        <w:ind w:firstLine="708"/>
        <w:jc w:val="both"/>
        <w:rPr>
          <w:rFonts w:cstheme="minorHAnsi"/>
        </w:rPr>
      </w:pPr>
      <w:r w:rsidRPr="003615A1">
        <w:rPr>
          <w:rFonts w:cstheme="minorHAnsi"/>
        </w:rPr>
        <w:t>La COVID-19, une pandémie</w:t>
      </w:r>
      <w:r w:rsidR="00D76158" w:rsidRPr="003615A1">
        <w:rPr>
          <w:rFonts w:cstheme="minorHAnsi"/>
        </w:rPr>
        <w:t xml:space="preserve"> apparue en novembre 2019 à Wuhan en Chine</w:t>
      </w:r>
      <w:r w:rsidRPr="003615A1">
        <w:rPr>
          <w:rFonts w:cstheme="minorHAnsi"/>
        </w:rPr>
        <w:t>, a entraîné</w:t>
      </w:r>
      <w:r w:rsidR="00D76158" w:rsidRPr="003615A1">
        <w:rPr>
          <w:rFonts w:cstheme="minorHAnsi"/>
        </w:rPr>
        <w:t>, par sa virulence,</w:t>
      </w:r>
      <w:r w:rsidRPr="003615A1">
        <w:rPr>
          <w:rFonts w:cstheme="minorHAnsi"/>
        </w:rPr>
        <w:t xml:space="preserve"> une multitude de défis sans précédent pour l'apprentissage et l'éducation des élèves à travers le monde. La flambée mondiale de cas de COVID-19 a </w:t>
      </w:r>
      <w:r w:rsidR="00D159E4" w:rsidRPr="003615A1">
        <w:rPr>
          <w:rFonts w:cstheme="minorHAnsi"/>
        </w:rPr>
        <w:t>contribué à</w:t>
      </w:r>
      <w:r w:rsidRPr="003615A1">
        <w:rPr>
          <w:rFonts w:cstheme="minorHAnsi"/>
        </w:rPr>
        <w:t xml:space="preserve"> la fermeture de plusieurs écoles, collèges et universités en 2020 dans presque toutes les régions du monde et le passage à l'apprentissage en ligne, ce qui a eu un impact sur l'apprentissage des élèves de différentes manières. </w:t>
      </w:r>
    </w:p>
    <w:p w14:paraId="739E1E8A" w14:textId="4BFA7671" w:rsidR="00D159E4" w:rsidRPr="003615A1" w:rsidRDefault="00D105F5" w:rsidP="00F80C05">
      <w:pPr>
        <w:ind w:firstLine="708"/>
        <w:jc w:val="both"/>
        <w:rPr>
          <w:rFonts w:cstheme="minorHAnsi"/>
        </w:rPr>
      </w:pPr>
      <w:r w:rsidRPr="003615A1">
        <w:rPr>
          <w:rFonts w:cstheme="minorHAnsi"/>
        </w:rPr>
        <w:t xml:space="preserve">Cela a conduit les éducateurs et les étudiants à passer plus </w:t>
      </w:r>
      <w:r w:rsidR="00D159E4" w:rsidRPr="003615A1">
        <w:rPr>
          <w:rFonts w:cstheme="minorHAnsi"/>
        </w:rPr>
        <w:t xml:space="preserve">que jamais </w:t>
      </w:r>
      <w:r w:rsidRPr="003615A1">
        <w:rPr>
          <w:rFonts w:cstheme="minorHAnsi"/>
        </w:rPr>
        <w:t>d</w:t>
      </w:r>
      <w:r w:rsidR="00D159E4" w:rsidRPr="003615A1">
        <w:rPr>
          <w:rFonts w:cstheme="minorHAnsi"/>
        </w:rPr>
        <w:t>u</w:t>
      </w:r>
      <w:r w:rsidRPr="003615A1">
        <w:rPr>
          <w:rFonts w:cstheme="minorHAnsi"/>
        </w:rPr>
        <w:t xml:space="preserve"> temps sur Internet, </w:t>
      </w:r>
      <w:r w:rsidR="00D159E4" w:rsidRPr="003615A1">
        <w:rPr>
          <w:rFonts w:cstheme="minorHAnsi"/>
        </w:rPr>
        <w:t xml:space="preserve">et par conséquent s'adapter à l'apprentissage à distance en </w:t>
      </w:r>
      <w:r w:rsidR="00090CC9" w:rsidRPr="003615A1">
        <w:rPr>
          <w:rFonts w:cstheme="minorHAnsi"/>
        </w:rPr>
        <w:t xml:space="preserve">apprenant et se familiarisant </w:t>
      </w:r>
      <w:r w:rsidRPr="003615A1">
        <w:rPr>
          <w:rFonts w:cstheme="minorHAnsi"/>
        </w:rPr>
        <w:t>avec les informations, les outils, les applications</w:t>
      </w:r>
      <w:r w:rsidR="00090CC9" w:rsidRPr="003615A1">
        <w:rPr>
          <w:rFonts w:cstheme="minorHAnsi"/>
        </w:rPr>
        <w:t xml:space="preserve"> mis à leur disposition.</w:t>
      </w:r>
      <w:r w:rsidRPr="003615A1">
        <w:rPr>
          <w:rFonts w:cstheme="minorHAnsi"/>
        </w:rPr>
        <w:t xml:space="preserve"> </w:t>
      </w:r>
    </w:p>
    <w:p w14:paraId="23C1CF02" w14:textId="77777777" w:rsidR="00090CC9" w:rsidRPr="003615A1" w:rsidRDefault="00D105F5" w:rsidP="00F80C05">
      <w:pPr>
        <w:ind w:firstLine="708"/>
        <w:jc w:val="both"/>
        <w:rPr>
          <w:rFonts w:cstheme="minorHAnsi"/>
        </w:rPr>
      </w:pPr>
      <w:r w:rsidRPr="003615A1">
        <w:rPr>
          <w:rFonts w:cstheme="minorHAnsi"/>
        </w:rPr>
        <w:t xml:space="preserve">L'étude de ces comportements </w:t>
      </w:r>
      <w:r w:rsidR="00090CC9" w:rsidRPr="003615A1">
        <w:rPr>
          <w:rFonts w:cstheme="minorHAnsi"/>
        </w:rPr>
        <w:t>web</w:t>
      </w:r>
      <w:r w:rsidRPr="003615A1">
        <w:rPr>
          <w:rFonts w:cstheme="minorHAnsi"/>
        </w:rPr>
        <w:t xml:space="preserve">, sous la forme d'exploration et d'analyse de Big Data, provenant de différents pays du monde offre la possibilité d'identifier, d'enquêter et de quantifier les besoins, les intérêts et les défis liés à l'apprentissage en ligne dans différents pays du monde </w:t>
      </w:r>
      <w:r w:rsidR="00090CC9" w:rsidRPr="003615A1">
        <w:rPr>
          <w:rFonts w:cstheme="minorHAnsi"/>
        </w:rPr>
        <w:t>imposés par</w:t>
      </w:r>
      <w:r w:rsidRPr="003615A1">
        <w:rPr>
          <w:rFonts w:cstheme="minorHAnsi"/>
        </w:rPr>
        <w:t xml:space="preserve"> la COVID-19. </w:t>
      </w:r>
    </w:p>
    <w:p w14:paraId="057B727A" w14:textId="79C13A08" w:rsidR="008A5C41" w:rsidRDefault="00090CC9" w:rsidP="00F80C05">
      <w:pPr>
        <w:ind w:firstLine="708"/>
        <w:jc w:val="both"/>
        <w:rPr>
          <w:rFonts w:cstheme="minorHAnsi"/>
        </w:rPr>
      </w:pPr>
      <w:r w:rsidRPr="003615A1">
        <w:rPr>
          <w:rFonts w:cstheme="minorHAnsi"/>
        </w:rPr>
        <w:t>A travers</w:t>
      </w:r>
      <w:r w:rsidR="00D105F5" w:rsidRPr="003615A1">
        <w:rPr>
          <w:rFonts w:cstheme="minorHAnsi"/>
        </w:rPr>
        <w:t xml:space="preserve"> ce projet, nous utiliserons </w:t>
      </w:r>
      <w:r w:rsidRPr="003615A1">
        <w:rPr>
          <w:rFonts w:cstheme="minorHAnsi"/>
        </w:rPr>
        <w:t>des données concernant les étudiants américain</w:t>
      </w:r>
      <w:r w:rsidR="00D76158" w:rsidRPr="003615A1">
        <w:rPr>
          <w:rFonts w:cstheme="minorHAnsi"/>
        </w:rPr>
        <w:t xml:space="preserve">s ainsi que </w:t>
      </w:r>
      <w:r w:rsidR="00D105F5" w:rsidRPr="003615A1">
        <w:rPr>
          <w:rFonts w:cstheme="minorHAnsi"/>
        </w:rPr>
        <w:t xml:space="preserve">des outils d'analyse de données pour déterminer les tendances de l'apprentissage numérique et son efficacité envers les communautés </w:t>
      </w:r>
      <w:r w:rsidRPr="003615A1">
        <w:rPr>
          <w:rFonts w:cstheme="minorHAnsi"/>
        </w:rPr>
        <w:t>étudi</w:t>
      </w:r>
      <w:r w:rsidR="00D105F5" w:rsidRPr="003615A1">
        <w:rPr>
          <w:rFonts w:cstheme="minorHAnsi"/>
        </w:rPr>
        <w:t xml:space="preserve">ées. Nous comparerons les districts et les États sur des facteurs tels que la démographie, l'accès à Internet, l'accès aux produits d'apprentissage et les finances. </w:t>
      </w:r>
      <w:r w:rsidRPr="003615A1">
        <w:rPr>
          <w:rFonts w:cstheme="minorHAnsi"/>
        </w:rPr>
        <w:t>Enfin</w:t>
      </w:r>
      <w:r w:rsidR="00D105F5" w:rsidRPr="003615A1">
        <w:rPr>
          <w:rFonts w:cstheme="minorHAnsi"/>
        </w:rPr>
        <w:t>, nous résum</w:t>
      </w:r>
      <w:r w:rsidRPr="003615A1">
        <w:rPr>
          <w:rFonts w:cstheme="minorHAnsi"/>
        </w:rPr>
        <w:t>er</w:t>
      </w:r>
      <w:r w:rsidR="00D105F5" w:rsidRPr="003615A1">
        <w:rPr>
          <w:rFonts w:cstheme="minorHAnsi"/>
        </w:rPr>
        <w:t>ons notre rapport et indiquerons les domaines qui nécessitent notre plus grande attention pour rendre l'éducation accessible à tous les étudiants des États-Unis.</w:t>
      </w:r>
    </w:p>
    <w:p w14:paraId="04DC4E41" w14:textId="77777777" w:rsidR="00D932BC" w:rsidRPr="003615A1" w:rsidRDefault="00D932BC" w:rsidP="00F80C05">
      <w:pPr>
        <w:ind w:firstLine="708"/>
        <w:jc w:val="both"/>
        <w:rPr>
          <w:rFonts w:cstheme="minorHAnsi"/>
        </w:rPr>
      </w:pPr>
    </w:p>
    <w:p w14:paraId="04FC8B3F" w14:textId="77777777" w:rsidR="00D932BC" w:rsidRPr="003615A1" w:rsidRDefault="00D932BC" w:rsidP="00F80C05">
      <w:pPr>
        <w:pStyle w:val="Titre1"/>
        <w:jc w:val="both"/>
        <w:rPr>
          <w:rFonts w:asciiTheme="minorHAnsi" w:hAnsiTheme="minorHAnsi" w:cstheme="minorHAnsi"/>
        </w:rPr>
      </w:pPr>
      <w:bookmarkStart w:id="1" w:name="_Toc97582904"/>
      <w:r w:rsidRPr="003615A1">
        <w:rPr>
          <w:rFonts w:asciiTheme="minorHAnsi" w:hAnsiTheme="minorHAnsi" w:cstheme="minorHAnsi"/>
        </w:rPr>
        <w:t>Objectifs</w:t>
      </w:r>
      <w:bookmarkEnd w:id="1"/>
    </w:p>
    <w:p w14:paraId="67769832" w14:textId="77777777" w:rsidR="00D932BC" w:rsidRPr="003615A1" w:rsidRDefault="00D932BC" w:rsidP="00F80C05">
      <w:pPr>
        <w:jc w:val="both"/>
        <w:rPr>
          <w:rFonts w:cstheme="minorHAnsi"/>
        </w:rPr>
      </w:pPr>
    </w:p>
    <w:p w14:paraId="4BB9ABBA" w14:textId="77777777" w:rsidR="00D932BC" w:rsidRPr="003615A1" w:rsidRDefault="00D932BC" w:rsidP="00F80C05">
      <w:pPr>
        <w:ind w:firstLine="708"/>
        <w:jc w:val="both"/>
        <w:rPr>
          <w:rFonts w:cstheme="minorHAnsi"/>
        </w:rPr>
      </w:pPr>
      <w:r w:rsidRPr="003615A1">
        <w:rPr>
          <w:rFonts w:cstheme="minorHAnsi"/>
        </w:rPr>
        <w:t>L’objectif de ce projet est d’explorer l'état de l'apprentissage numérique en 2020 et comment l'engagement de l'apprentissage numérique est lié à des facteurs tels que la démographie du district ; mais aussi, d’analyser les ensembles de données, trouver des informations significatives et créer des visualisations simples et pertinentes.</w:t>
      </w:r>
    </w:p>
    <w:p w14:paraId="2CFDD830" w14:textId="77777777" w:rsidR="00D932BC" w:rsidRPr="003615A1" w:rsidRDefault="00D932BC" w:rsidP="00F80C05">
      <w:pPr>
        <w:jc w:val="both"/>
        <w:rPr>
          <w:rFonts w:cstheme="minorHAnsi"/>
        </w:rPr>
      </w:pPr>
      <w:r w:rsidRPr="003615A1">
        <w:rPr>
          <w:rFonts w:cstheme="minorHAnsi"/>
        </w:rPr>
        <w:t>Nous étudierons l’engament des étudiants à l’apprentissage à distance selon cinq axes :</w:t>
      </w:r>
    </w:p>
    <w:p w14:paraId="215B6635" w14:textId="77777777" w:rsidR="00D932BC" w:rsidRPr="003615A1" w:rsidRDefault="00D932BC" w:rsidP="00F80C05">
      <w:pPr>
        <w:pStyle w:val="Paragraphedeliste"/>
        <w:numPr>
          <w:ilvl w:val="0"/>
          <w:numId w:val="1"/>
        </w:numPr>
        <w:jc w:val="both"/>
        <w:rPr>
          <w:rFonts w:cstheme="minorHAnsi"/>
        </w:rPr>
      </w:pPr>
      <w:r w:rsidRPr="003615A1">
        <w:rPr>
          <w:rFonts w:cstheme="minorHAnsi"/>
        </w:rPr>
        <w:t>L’état de la connectivité et engagement numérique en 2020</w:t>
      </w:r>
    </w:p>
    <w:p w14:paraId="4A6CBEA5" w14:textId="77777777" w:rsidR="00D932BC" w:rsidRPr="003615A1" w:rsidRDefault="00D932BC" w:rsidP="00F80C05">
      <w:pPr>
        <w:pStyle w:val="Paragraphedeliste"/>
        <w:numPr>
          <w:ilvl w:val="0"/>
          <w:numId w:val="1"/>
        </w:numPr>
        <w:jc w:val="both"/>
        <w:rPr>
          <w:rFonts w:cstheme="minorHAnsi"/>
        </w:rPr>
      </w:pPr>
      <w:r w:rsidRPr="003615A1">
        <w:rPr>
          <w:rFonts w:cstheme="minorHAnsi"/>
        </w:rPr>
        <w:t>L’effet de la COVID-19 sur l’apprentissage à distance</w:t>
      </w:r>
    </w:p>
    <w:p w14:paraId="48DA8D0B" w14:textId="77777777" w:rsidR="00D932BC" w:rsidRPr="003615A1" w:rsidRDefault="00D932BC" w:rsidP="00F80C05">
      <w:pPr>
        <w:pStyle w:val="Paragraphedeliste"/>
        <w:numPr>
          <w:ilvl w:val="0"/>
          <w:numId w:val="1"/>
        </w:numPr>
        <w:jc w:val="both"/>
        <w:rPr>
          <w:rFonts w:cstheme="minorHAnsi"/>
        </w:rPr>
      </w:pPr>
      <w:r w:rsidRPr="003615A1">
        <w:rPr>
          <w:rFonts w:cstheme="minorHAnsi"/>
        </w:rPr>
        <w:t>La relation entre l’engagement étudiant et les technologies éducatives</w:t>
      </w:r>
    </w:p>
    <w:p w14:paraId="0361B551" w14:textId="77777777" w:rsidR="00D932BC" w:rsidRPr="003615A1" w:rsidRDefault="00D932BC" w:rsidP="00F80C05">
      <w:pPr>
        <w:pStyle w:val="Paragraphedeliste"/>
        <w:numPr>
          <w:ilvl w:val="0"/>
          <w:numId w:val="1"/>
        </w:numPr>
        <w:jc w:val="both"/>
        <w:rPr>
          <w:rFonts w:cstheme="minorHAnsi"/>
        </w:rPr>
      </w:pPr>
      <w:r w:rsidRPr="003615A1">
        <w:rPr>
          <w:rFonts w:cstheme="minorHAnsi"/>
        </w:rPr>
        <w:t>Le potentiel lien entre l’engagement étudiant et les facteurs sociogéographiques</w:t>
      </w:r>
    </w:p>
    <w:p w14:paraId="5675A17E" w14:textId="77777777" w:rsidR="00D932BC" w:rsidRPr="003615A1" w:rsidRDefault="00D932BC" w:rsidP="00F80C05">
      <w:pPr>
        <w:pStyle w:val="Paragraphedeliste"/>
        <w:numPr>
          <w:ilvl w:val="0"/>
          <w:numId w:val="1"/>
        </w:numPr>
        <w:jc w:val="both"/>
        <w:rPr>
          <w:rFonts w:cstheme="minorHAnsi"/>
        </w:rPr>
      </w:pPr>
      <w:r w:rsidRPr="003615A1">
        <w:rPr>
          <w:rFonts w:cstheme="minorHAnsi"/>
        </w:rPr>
        <w:t>Le rôle</w:t>
      </w:r>
      <w:r>
        <w:rPr>
          <w:rFonts w:cstheme="minorHAnsi"/>
        </w:rPr>
        <w:t xml:space="preserve"> des</w:t>
      </w:r>
      <w:r w:rsidRPr="003615A1">
        <w:rPr>
          <w:rFonts w:cstheme="minorHAnsi"/>
        </w:rPr>
        <w:t xml:space="preserve"> politiques d’Etat dans l’engagement étudiant</w:t>
      </w:r>
    </w:p>
    <w:p w14:paraId="6F463BFB" w14:textId="12B2C525" w:rsidR="00F87381" w:rsidRDefault="00F87381" w:rsidP="00F80C05">
      <w:pPr>
        <w:ind w:firstLine="708"/>
        <w:jc w:val="both"/>
        <w:rPr>
          <w:rFonts w:cstheme="minorHAnsi"/>
        </w:rPr>
      </w:pPr>
    </w:p>
    <w:p w14:paraId="6F41D263" w14:textId="3C7019C1" w:rsidR="00D932BC" w:rsidRDefault="00D932BC" w:rsidP="00F80C05">
      <w:pPr>
        <w:ind w:firstLine="708"/>
        <w:jc w:val="both"/>
        <w:rPr>
          <w:rFonts w:cstheme="minorHAnsi"/>
        </w:rPr>
      </w:pPr>
    </w:p>
    <w:p w14:paraId="3398C79F" w14:textId="576B4E0D" w:rsidR="00D932BC" w:rsidRDefault="00D932BC" w:rsidP="00F80C05">
      <w:pPr>
        <w:ind w:firstLine="708"/>
        <w:jc w:val="both"/>
        <w:rPr>
          <w:rFonts w:cstheme="minorHAnsi"/>
        </w:rPr>
      </w:pPr>
    </w:p>
    <w:p w14:paraId="4A9E2EB3" w14:textId="77777777" w:rsidR="00D932BC" w:rsidRPr="003615A1" w:rsidRDefault="00D932BC" w:rsidP="00F80C05">
      <w:pPr>
        <w:ind w:firstLine="708"/>
        <w:jc w:val="both"/>
        <w:rPr>
          <w:rFonts w:cstheme="minorHAnsi"/>
        </w:rPr>
      </w:pPr>
    </w:p>
    <w:p w14:paraId="39162B07" w14:textId="3B8A121B" w:rsidR="00F87381" w:rsidRPr="003615A1" w:rsidRDefault="00F87381" w:rsidP="00F80C05">
      <w:pPr>
        <w:pStyle w:val="Titre1"/>
        <w:jc w:val="both"/>
        <w:rPr>
          <w:rFonts w:asciiTheme="minorHAnsi" w:hAnsiTheme="minorHAnsi" w:cstheme="minorHAnsi"/>
        </w:rPr>
      </w:pPr>
      <w:bookmarkStart w:id="2" w:name="_Toc97582905"/>
      <w:r w:rsidRPr="003615A1">
        <w:rPr>
          <w:rFonts w:asciiTheme="minorHAnsi" w:hAnsiTheme="minorHAnsi" w:cstheme="minorHAnsi"/>
        </w:rPr>
        <w:lastRenderedPageBreak/>
        <w:t>Données disponibles</w:t>
      </w:r>
      <w:bookmarkEnd w:id="2"/>
    </w:p>
    <w:p w14:paraId="2EB457F3" w14:textId="77777777" w:rsidR="00827EC8" w:rsidRPr="003615A1" w:rsidRDefault="00827EC8" w:rsidP="00F80C05">
      <w:pPr>
        <w:ind w:firstLine="708"/>
        <w:jc w:val="both"/>
        <w:rPr>
          <w:rFonts w:cstheme="minorHAnsi"/>
        </w:rPr>
      </w:pPr>
    </w:p>
    <w:p w14:paraId="3AE567C8" w14:textId="622E4DAF" w:rsidR="00827EC8" w:rsidRPr="003615A1" w:rsidRDefault="00827EC8" w:rsidP="00F80C05">
      <w:pPr>
        <w:ind w:firstLine="708"/>
        <w:jc w:val="both"/>
        <w:rPr>
          <w:rFonts w:cstheme="minorHAnsi"/>
        </w:rPr>
      </w:pPr>
      <w:r w:rsidRPr="003615A1">
        <w:rPr>
          <w:rFonts w:cstheme="minorHAnsi"/>
        </w:rPr>
        <w:t xml:space="preserve">Le jeu de données fourni est un ensemble de données sur l'engagement « edtech » de plus de 200 districts scolaires des </w:t>
      </w:r>
      <w:r w:rsidR="00F62F1A" w:rsidRPr="003615A1">
        <w:rPr>
          <w:rFonts w:cstheme="minorHAnsi"/>
        </w:rPr>
        <w:t>Etats-Unis</w:t>
      </w:r>
      <w:r w:rsidRPr="003615A1">
        <w:rPr>
          <w:rFonts w:cstheme="minorHAnsi"/>
        </w:rPr>
        <w:t xml:space="preserve"> en 2020. Celui-ci inclut trois ensembles de fichiers de base.</w:t>
      </w:r>
    </w:p>
    <w:p w14:paraId="02C98BB3" w14:textId="0DCB328F" w:rsidR="00080C41" w:rsidRPr="003615A1" w:rsidRDefault="00827EC8" w:rsidP="00F80C05">
      <w:pPr>
        <w:pStyle w:val="Titre2"/>
        <w:jc w:val="both"/>
        <w:rPr>
          <w:rFonts w:asciiTheme="minorHAnsi" w:hAnsiTheme="minorHAnsi" w:cstheme="minorHAnsi"/>
        </w:rPr>
      </w:pPr>
      <w:bookmarkStart w:id="3" w:name="_Toc97582906"/>
      <w:r w:rsidRPr="003615A1">
        <w:rPr>
          <w:rFonts w:asciiTheme="minorHAnsi" w:hAnsiTheme="minorHAnsi" w:cstheme="minorHAnsi"/>
        </w:rPr>
        <w:t>Engagement étudiant</w:t>
      </w:r>
      <w:bookmarkEnd w:id="3"/>
    </w:p>
    <w:p w14:paraId="475F55B1" w14:textId="498379C9" w:rsidR="00827EC8" w:rsidRPr="003615A1" w:rsidRDefault="00827EC8" w:rsidP="00F80C05">
      <w:pPr>
        <w:ind w:firstLine="708"/>
        <w:jc w:val="both"/>
        <w:rPr>
          <w:rFonts w:cstheme="minorHAnsi"/>
        </w:rPr>
      </w:pPr>
      <w:r w:rsidRPr="003615A1">
        <w:rPr>
          <w:rFonts w:cstheme="minorHAnsi"/>
        </w:rPr>
        <w:t xml:space="preserve">Il s’agit </w:t>
      </w:r>
      <w:r w:rsidR="007C384E" w:rsidRPr="003615A1">
        <w:rPr>
          <w:rFonts w:cstheme="minorHAnsi"/>
        </w:rPr>
        <w:t>d’un</w:t>
      </w:r>
      <w:r w:rsidRPr="003615A1">
        <w:rPr>
          <w:rFonts w:cstheme="minorHAnsi"/>
        </w:rPr>
        <w:t xml:space="preserve"> dossier</w:t>
      </w:r>
      <w:r w:rsidR="007C384E" w:rsidRPr="003615A1">
        <w:rPr>
          <w:rFonts w:cstheme="minorHAnsi"/>
        </w:rPr>
        <w:t xml:space="preserve"> comportant un ensemble de fichiers .csv</w:t>
      </w:r>
      <w:r w:rsidRPr="003615A1">
        <w:rPr>
          <w:rFonts w:cstheme="minorHAnsi"/>
        </w:rPr>
        <w:t xml:space="preserve"> basé sur l'extension Student Chrome de la plateforme LearnPlatform. L'extension collecte les événements de chargement de page de plus de 10 000 produits de technologie éducative dans la bibliothèque de produits, y compris les sites Web, les applications, les applications Web, les programmes logiciels, les extensions, les livres électroniques, les matériels et les services utilisés dans les établissements d'enseignement. Les données sur l'engagement ont été agrégées au niveau du district scolaire, et chaque fichier représente les données d'un district scolaire.</w:t>
      </w:r>
    </w:p>
    <w:p w14:paraId="1BA01B23" w14:textId="01E582DC" w:rsidR="003615A1" w:rsidRDefault="003615A1" w:rsidP="00F80C05">
      <w:pPr>
        <w:ind w:firstLine="708"/>
        <w:jc w:val="both"/>
        <w:rPr>
          <w:rFonts w:cstheme="minorHAnsi"/>
        </w:rPr>
      </w:pPr>
      <w:r w:rsidRPr="003615A1">
        <w:rPr>
          <w:rFonts w:cstheme="minorHAnsi"/>
        </w:rPr>
        <w:t xml:space="preserve">Les données d'engagement sont agrégées au niveau du district scolaire, et chaque fichier du dossier </w:t>
      </w:r>
      <w:r w:rsidRPr="003615A1">
        <w:rPr>
          <w:rFonts w:cstheme="minorHAnsi"/>
          <w:b/>
          <w:bCs/>
        </w:rPr>
        <w:t>engagement_data</w:t>
      </w:r>
      <w:r w:rsidRPr="003615A1">
        <w:rPr>
          <w:rFonts w:cstheme="minorHAnsi"/>
        </w:rPr>
        <w:t xml:space="preserve"> représente les données d'un district scolaire. </w:t>
      </w:r>
      <w:bookmarkStart w:id="4" w:name="_Hlk97572014"/>
      <w:r w:rsidRPr="003615A1">
        <w:rPr>
          <w:rFonts w:cstheme="minorHAnsi"/>
        </w:rPr>
        <w:t xml:space="preserve">Le nom de fichier à 4 chiffres représente </w:t>
      </w:r>
      <w:r w:rsidRPr="003615A1">
        <w:rPr>
          <w:rFonts w:cstheme="minorHAnsi"/>
          <w:b/>
          <w:bCs/>
        </w:rPr>
        <w:t>district_id</w:t>
      </w:r>
      <w:r w:rsidRPr="003615A1">
        <w:rPr>
          <w:rFonts w:cstheme="minorHAnsi"/>
        </w:rPr>
        <w:t xml:space="preserve"> qui peut être utilisé pour établir un lien vers les informations du district, </w:t>
      </w:r>
      <w:r w:rsidRPr="003615A1">
        <w:rPr>
          <w:rFonts w:cstheme="minorHAnsi"/>
          <w:b/>
          <w:bCs/>
        </w:rPr>
        <w:t>lp_id</w:t>
      </w:r>
      <w:r w:rsidRPr="003615A1">
        <w:rPr>
          <w:rFonts w:cstheme="minorHAnsi"/>
        </w:rPr>
        <w:t xml:space="preserve"> peut être utilisé pour créer un lien vers des informations sur le produit de technologie éducative</w:t>
      </w:r>
      <w:bookmarkEnd w:id="4"/>
      <w:r w:rsidRPr="003615A1">
        <w:rPr>
          <w:rFonts w:cstheme="minorHAnsi"/>
        </w:rPr>
        <w:t>.</w:t>
      </w:r>
    </w:p>
    <w:tbl>
      <w:tblPr>
        <w:tblStyle w:val="Grilledutableau"/>
        <w:tblW w:w="0" w:type="auto"/>
        <w:tblLook w:val="04A0" w:firstRow="1" w:lastRow="0" w:firstColumn="1" w:lastColumn="0" w:noHBand="0" w:noVBand="1"/>
      </w:tblPr>
      <w:tblGrid>
        <w:gridCol w:w="2689"/>
        <w:gridCol w:w="6373"/>
      </w:tblGrid>
      <w:tr w:rsidR="003615A1" w:rsidRPr="003615A1" w14:paraId="454BE2CA" w14:textId="77777777" w:rsidTr="00F63173">
        <w:tc>
          <w:tcPr>
            <w:tcW w:w="2689" w:type="dxa"/>
          </w:tcPr>
          <w:p w14:paraId="466D74EB" w14:textId="35989862" w:rsidR="003615A1" w:rsidRPr="003615A1" w:rsidRDefault="003615A1" w:rsidP="00F80C05">
            <w:pPr>
              <w:jc w:val="both"/>
              <w:rPr>
                <w:rFonts w:cstheme="minorHAnsi"/>
                <w:b/>
                <w:bCs/>
                <w:i/>
                <w:iCs/>
              </w:rPr>
            </w:pPr>
            <w:r w:rsidRPr="003615A1">
              <w:rPr>
                <w:rFonts w:cstheme="minorHAnsi"/>
                <w:b/>
                <w:bCs/>
                <w:i/>
                <w:iCs/>
              </w:rPr>
              <w:t>Nom</w:t>
            </w:r>
          </w:p>
        </w:tc>
        <w:tc>
          <w:tcPr>
            <w:tcW w:w="6373" w:type="dxa"/>
          </w:tcPr>
          <w:p w14:paraId="702B398E" w14:textId="0DB1DCD0" w:rsidR="003615A1" w:rsidRPr="003615A1" w:rsidRDefault="003615A1" w:rsidP="00F80C05">
            <w:pPr>
              <w:jc w:val="both"/>
              <w:rPr>
                <w:rFonts w:cstheme="minorHAnsi"/>
                <w:b/>
                <w:bCs/>
                <w:i/>
                <w:iCs/>
              </w:rPr>
            </w:pPr>
            <w:r w:rsidRPr="003615A1">
              <w:rPr>
                <w:rFonts w:cstheme="minorHAnsi"/>
                <w:b/>
                <w:bCs/>
                <w:i/>
                <w:iCs/>
              </w:rPr>
              <w:t>Description</w:t>
            </w:r>
          </w:p>
        </w:tc>
      </w:tr>
      <w:tr w:rsidR="003615A1" w:rsidRPr="003615A1" w14:paraId="6834452F" w14:textId="77777777" w:rsidTr="00F63173">
        <w:trPr>
          <w:trHeight w:val="478"/>
        </w:trPr>
        <w:tc>
          <w:tcPr>
            <w:tcW w:w="2689" w:type="dxa"/>
            <w:vAlign w:val="center"/>
          </w:tcPr>
          <w:p w14:paraId="0B482FEF" w14:textId="7877A273" w:rsidR="003615A1" w:rsidRPr="003615A1" w:rsidRDefault="003615A1" w:rsidP="00F80C05">
            <w:pPr>
              <w:jc w:val="both"/>
              <w:rPr>
                <w:rFonts w:cstheme="minorHAnsi"/>
              </w:rPr>
            </w:pPr>
            <w:r w:rsidRPr="003615A1">
              <w:rPr>
                <w:rFonts w:cstheme="minorHAnsi"/>
              </w:rPr>
              <w:t>temps</w:t>
            </w:r>
          </w:p>
        </w:tc>
        <w:tc>
          <w:tcPr>
            <w:tcW w:w="6373" w:type="dxa"/>
            <w:vAlign w:val="center"/>
          </w:tcPr>
          <w:p w14:paraId="6B63A16A" w14:textId="31284D7A" w:rsidR="003615A1" w:rsidRPr="003615A1" w:rsidRDefault="003615A1" w:rsidP="00F80C05">
            <w:pPr>
              <w:jc w:val="both"/>
              <w:rPr>
                <w:rFonts w:cstheme="minorHAnsi"/>
              </w:rPr>
            </w:pPr>
            <w:r w:rsidRPr="003615A1">
              <w:rPr>
                <w:rFonts w:cstheme="minorHAnsi"/>
                <w:shd w:val="clear" w:color="auto" w:fill="FFFFFF"/>
              </w:rPr>
              <w:t>Date en "AAAA-MM-JJ"</w:t>
            </w:r>
          </w:p>
        </w:tc>
      </w:tr>
      <w:tr w:rsidR="003615A1" w:rsidRPr="003615A1" w14:paraId="13BACC45" w14:textId="77777777" w:rsidTr="00F63173">
        <w:trPr>
          <w:trHeight w:val="414"/>
        </w:trPr>
        <w:tc>
          <w:tcPr>
            <w:tcW w:w="2689" w:type="dxa"/>
            <w:vAlign w:val="center"/>
          </w:tcPr>
          <w:p w14:paraId="384F08A5" w14:textId="74279B2B" w:rsidR="003615A1" w:rsidRPr="003615A1" w:rsidRDefault="003615A1" w:rsidP="00F80C05">
            <w:pPr>
              <w:jc w:val="both"/>
              <w:rPr>
                <w:rFonts w:cstheme="minorHAnsi"/>
              </w:rPr>
            </w:pPr>
            <w:r w:rsidRPr="003615A1">
              <w:rPr>
                <w:rFonts w:cstheme="minorHAnsi"/>
              </w:rPr>
              <w:t>lp_id</w:t>
            </w:r>
          </w:p>
        </w:tc>
        <w:tc>
          <w:tcPr>
            <w:tcW w:w="6373" w:type="dxa"/>
            <w:vAlign w:val="center"/>
          </w:tcPr>
          <w:p w14:paraId="4B0B8359" w14:textId="440A1801" w:rsidR="003615A1" w:rsidRPr="003615A1" w:rsidRDefault="003615A1" w:rsidP="00F80C05">
            <w:pPr>
              <w:jc w:val="both"/>
              <w:rPr>
                <w:rFonts w:cstheme="minorHAnsi"/>
              </w:rPr>
            </w:pPr>
            <w:r w:rsidRPr="003615A1">
              <w:rPr>
                <w:rFonts w:cstheme="minorHAnsi"/>
                <w:shd w:val="clear" w:color="auto" w:fill="FFFFFF"/>
              </w:rPr>
              <w:t>Identifiant unique du produit</w:t>
            </w:r>
          </w:p>
        </w:tc>
      </w:tr>
      <w:tr w:rsidR="003615A1" w:rsidRPr="003615A1" w14:paraId="3DF6CD40" w14:textId="77777777" w:rsidTr="00F63173">
        <w:trPr>
          <w:trHeight w:val="704"/>
        </w:trPr>
        <w:tc>
          <w:tcPr>
            <w:tcW w:w="2689" w:type="dxa"/>
            <w:vAlign w:val="center"/>
          </w:tcPr>
          <w:p w14:paraId="003B2BDE" w14:textId="363889BB" w:rsidR="003615A1" w:rsidRPr="003615A1" w:rsidRDefault="003615A1" w:rsidP="00F80C05">
            <w:pPr>
              <w:jc w:val="both"/>
              <w:rPr>
                <w:rFonts w:cstheme="minorHAnsi"/>
              </w:rPr>
            </w:pPr>
            <w:r w:rsidRPr="003615A1">
              <w:rPr>
                <w:rFonts w:cstheme="minorHAnsi"/>
              </w:rPr>
              <w:t>pct_access</w:t>
            </w:r>
          </w:p>
        </w:tc>
        <w:tc>
          <w:tcPr>
            <w:tcW w:w="6373" w:type="dxa"/>
            <w:vAlign w:val="center"/>
          </w:tcPr>
          <w:p w14:paraId="790E8AFC" w14:textId="177E0C0F" w:rsidR="003615A1" w:rsidRPr="003615A1" w:rsidRDefault="003615A1" w:rsidP="00F80C05">
            <w:pPr>
              <w:jc w:val="both"/>
              <w:rPr>
                <w:rFonts w:cstheme="minorHAnsi"/>
              </w:rPr>
            </w:pPr>
            <w:r w:rsidRPr="003615A1">
              <w:rPr>
                <w:rFonts w:cstheme="minorHAnsi"/>
              </w:rPr>
              <w:t>Pourcentage d'élèves du district ayant au moins un événement de chargement de page d'un produit donné et un jour donné</w:t>
            </w:r>
          </w:p>
        </w:tc>
      </w:tr>
      <w:tr w:rsidR="003615A1" w:rsidRPr="003615A1" w14:paraId="4B12B10D" w14:textId="77777777" w:rsidTr="00F63173">
        <w:trPr>
          <w:trHeight w:val="699"/>
        </w:trPr>
        <w:tc>
          <w:tcPr>
            <w:tcW w:w="2689" w:type="dxa"/>
            <w:vAlign w:val="center"/>
          </w:tcPr>
          <w:p w14:paraId="402CE119" w14:textId="24DED19D" w:rsidR="003615A1" w:rsidRPr="003615A1" w:rsidRDefault="003615A1" w:rsidP="00F80C05">
            <w:pPr>
              <w:jc w:val="both"/>
              <w:rPr>
                <w:rFonts w:cstheme="minorHAnsi"/>
              </w:rPr>
            </w:pPr>
            <w:r w:rsidRPr="003615A1">
              <w:rPr>
                <w:rFonts w:cstheme="minorHAnsi"/>
              </w:rPr>
              <w:t>engagement_index</w:t>
            </w:r>
          </w:p>
        </w:tc>
        <w:tc>
          <w:tcPr>
            <w:tcW w:w="6373" w:type="dxa"/>
            <w:vAlign w:val="center"/>
          </w:tcPr>
          <w:p w14:paraId="14C4558D" w14:textId="20F16F8B" w:rsidR="003615A1" w:rsidRPr="003615A1" w:rsidRDefault="003615A1" w:rsidP="00F80C05">
            <w:pPr>
              <w:jc w:val="both"/>
              <w:rPr>
                <w:rFonts w:cstheme="minorHAnsi"/>
              </w:rPr>
            </w:pPr>
            <w:bookmarkStart w:id="5" w:name="_Hlk97574493"/>
            <w:r w:rsidRPr="003615A1">
              <w:rPr>
                <w:rFonts w:cstheme="minorHAnsi"/>
              </w:rPr>
              <w:t>Nombre total d'événements de chargement de page pour mille étudiants d'un produit donné et un jour donné</w:t>
            </w:r>
            <w:bookmarkEnd w:id="5"/>
          </w:p>
        </w:tc>
      </w:tr>
    </w:tbl>
    <w:p w14:paraId="1EF42123" w14:textId="77777777" w:rsidR="007C384E" w:rsidRPr="003615A1" w:rsidRDefault="007C384E" w:rsidP="00F80C05">
      <w:pPr>
        <w:ind w:firstLine="708"/>
        <w:jc w:val="both"/>
        <w:rPr>
          <w:rFonts w:cstheme="minorHAnsi"/>
        </w:rPr>
      </w:pPr>
    </w:p>
    <w:p w14:paraId="4AA654E4" w14:textId="64891F6D" w:rsidR="007C384E" w:rsidRPr="003615A1" w:rsidRDefault="007C384E" w:rsidP="00F80C05">
      <w:pPr>
        <w:pStyle w:val="Titre2"/>
        <w:jc w:val="both"/>
        <w:rPr>
          <w:rFonts w:asciiTheme="minorHAnsi" w:hAnsiTheme="minorHAnsi" w:cstheme="minorHAnsi"/>
        </w:rPr>
      </w:pPr>
      <w:bookmarkStart w:id="6" w:name="_Toc97582907"/>
      <w:r w:rsidRPr="003615A1">
        <w:rPr>
          <w:rFonts w:asciiTheme="minorHAnsi" w:hAnsiTheme="minorHAnsi" w:cstheme="minorHAnsi"/>
        </w:rPr>
        <w:t>Technologies éducatives</w:t>
      </w:r>
      <w:bookmarkEnd w:id="6"/>
    </w:p>
    <w:p w14:paraId="70898140" w14:textId="27BAE27A" w:rsidR="00894040" w:rsidRDefault="007C384E" w:rsidP="00F80C05">
      <w:pPr>
        <w:jc w:val="both"/>
        <w:rPr>
          <w:rFonts w:cstheme="minorHAnsi"/>
        </w:rPr>
      </w:pPr>
      <w:r w:rsidRPr="003615A1">
        <w:rPr>
          <w:rFonts w:cstheme="minorHAnsi"/>
        </w:rPr>
        <w:tab/>
        <w:t>Ces données se présente sous la forme d’un fichier .csv comprenant des informations sur les caractéristiques des 372 meilleurs produits avec le plus d'utilisateurs en 2020.</w:t>
      </w:r>
      <w:r w:rsidR="00806900">
        <w:rPr>
          <w:rFonts w:cstheme="minorHAnsi"/>
        </w:rPr>
        <w:t xml:space="preserve"> </w:t>
      </w:r>
      <w:r w:rsidR="00894040" w:rsidRPr="00894040">
        <w:rPr>
          <w:rFonts w:cstheme="minorHAnsi"/>
        </w:rPr>
        <w:t xml:space="preserve">Les catégories répertoriées dans </w:t>
      </w:r>
      <w:r w:rsidR="00806900">
        <w:rPr>
          <w:rFonts w:cstheme="minorHAnsi"/>
        </w:rPr>
        <w:t>l</w:t>
      </w:r>
      <w:r w:rsidR="00894040" w:rsidRPr="00894040">
        <w:rPr>
          <w:rFonts w:cstheme="minorHAnsi"/>
        </w:rPr>
        <w:t xml:space="preserve">e fichier </w:t>
      </w:r>
      <w:r w:rsidR="00806900" w:rsidRPr="00894040">
        <w:rPr>
          <w:rFonts w:cstheme="minorHAnsi"/>
          <w:b/>
          <w:bCs/>
        </w:rPr>
        <w:t>products_info.csv</w:t>
      </w:r>
      <w:r w:rsidR="00806900" w:rsidRPr="00894040">
        <w:rPr>
          <w:rFonts w:cstheme="minorHAnsi"/>
        </w:rPr>
        <w:t xml:space="preserve"> </w:t>
      </w:r>
      <w:r w:rsidR="00894040" w:rsidRPr="00894040">
        <w:rPr>
          <w:rFonts w:cstheme="minorHAnsi"/>
        </w:rPr>
        <w:t>font partie de la taxonomie des produits de LearnPlatform. Certains produits peuvent ne pas avoir d'étiquettes en raison d'un doublon, d'un manque d'URL précise ou d'autres raisons.</w:t>
      </w:r>
    </w:p>
    <w:tbl>
      <w:tblPr>
        <w:tblStyle w:val="Grilledutableau"/>
        <w:tblW w:w="0" w:type="auto"/>
        <w:tblLook w:val="04A0" w:firstRow="1" w:lastRow="0" w:firstColumn="1" w:lastColumn="0" w:noHBand="0" w:noVBand="1"/>
      </w:tblPr>
      <w:tblGrid>
        <w:gridCol w:w="2689"/>
        <w:gridCol w:w="6373"/>
      </w:tblGrid>
      <w:tr w:rsidR="002451A0" w:rsidRPr="003615A1" w14:paraId="7AEF434F" w14:textId="77777777" w:rsidTr="00F63173">
        <w:tc>
          <w:tcPr>
            <w:tcW w:w="2689" w:type="dxa"/>
          </w:tcPr>
          <w:p w14:paraId="73CC7BDD" w14:textId="77777777" w:rsidR="002451A0" w:rsidRPr="003615A1" w:rsidRDefault="002451A0" w:rsidP="00F80C05">
            <w:pPr>
              <w:jc w:val="both"/>
              <w:rPr>
                <w:rFonts w:cstheme="minorHAnsi"/>
                <w:b/>
                <w:bCs/>
                <w:i/>
                <w:iCs/>
              </w:rPr>
            </w:pPr>
            <w:r w:rsidRPr="003615A1">
              <w:rPr>
                <w:rFonts w:cstheme="minorHAnsi"/>
                <w:b/>
                <w:bCs/>
                <w:i/>
                <w:iCs/>
              </w:rPr>
              <w:t>Nom</w:t>
            </w:r>
          </w:p>
        </w:tc>
        <w:tc>
          <w:tcPr>
            <w:tcW w:w="6373" w:type="dxa"/>
          </w:tcPr>
          <w:p w14:paraId="06B8CF24" w14:textId="77777777" w:rsidR="002451A0" w:rsidRPr="003615A1" w:rsidRDefault="002451A0" w:rsidP="00F80C05">
            <w:pPr>
              <w:jc w:val="both"/>
              <w:rPr>
                <w:rFonts w:cstheme="minorHAnsi"/>
                <w:b/>
                <w:bCs/>
                <w:i/>
                <w:iCs/>
              </w:rPr>
            </w:pPr>
            <w:r w:rsidRPr="003615A1">
              <w:rPr>
                <w:rFonts w:cstheme="minorHAnsi"/>
                <w:b/>
                <w:bCs/>
                <w:i/>
                <w:iCs/>
              </w:rPr>
              <w:t>Description</w:t>
            </w:r>
          </w:p>
        </w:tc>
      </w:tr>
      <w:tr w:rsidR="002451A0" w:rsidRPr="002451A0" w14:paraId="33202F12" w14:textId="77777777" w:rsidTr="00F63173">
        <w:trPr>
          <w:trHeight w:val="478"/>
        </w:trPr>
        <w:tc>
          <w:tcPr>
            <w:tcW w:w="2689" w:type="dxa"/>
            <w:vAlign w:val="center"/>
          </w:tcPr>
          <w:p w14:paraId="47F6267C" w14:textId="5F4F8834" w:rsidR="002451A0" w:rsidRPr="002451A0" w:rsidRDefault="00F63173" w:rsidP="00F80C05">
            <w:pPr>
              <w:jc w:val="both"/>
              <w:rPr>
                <w:rFonts w:cstheme="minorHAnsi"/>
              </w:rPr>
            </w:pPr>
            <w:r>
              <w:rPr>
                <w:rFonts w:cstheme="minorHAnsi"/>
              </w:rPr>
              <w:t>LP ID</w:t>
            </w:r>
          </w:p>
        </w:tc>
        <w:tc>
          <w:tcPr>
            <w:tcW w:w="6373" w:type="dxa"/>
            <w:vAlign w:val="center"/>
          </w:tcPr>
          <w:p w14:paraId="492F3565" w14:textId="26FF0876" w:rsidR="002451A0" w:rsidRPr="002451A0" w:rsidRDefault="002451A0" w:rsidP="00F80C05">
            <w:pPr>
              <w:jc w:val="both"/>
              <w:rPr>
                <w:rFonts w:cstheme="minorHAnsi"/>
              </w:rPr>
            </w:pPr>
            <w:r w:rsidRPr="002451A0">
              <w:rPr>
                <w:rFonts w:cstheme="minorHAnsi"/>
                <w:shd w:val="clear" w:color="auto" w:fill="FFFFFF"/>
              </w:rPr>
              <w:t>Identifiant unique du produit</w:t>
            </w:r>
          </w:p>
        </w:tc>
      </w:tr>
      <w:tr w:rsidR="002451A0" w:rsidRPr="002451A0" w14:paraId="20703820" w14:textId="77777777" w:rsidTr="00F63173">
        <w:trPr>
          <w:trHeight w:val="414"/>
        </w:trPr>
        <w:tc>
          <w:tcPr>
            <w:tcW w:w="2689" w:type="dxa"/>
            <w:vAlign w:val="center"/>
          </w:tcPr>
          <w:p w14:paraId="74BA9509" w14:textId="53B16F07" w:rsidR="002451A0" w:rsidRPr="002451A0" w:rsidRDefault="002451A0" w:rsidP="00F80C05">
            <w:pPr>
              <w:jc w:val="both"/>
              <w:rPr>
                <w:rFonts w:cstheme="minorHAnsi"/>
              </w:rPr>
            </w:pPr>
            <w:r w:rsidRPr="002451A0">
              <w:rPr>
                <w:rFonts w:cstheme="minorHAnsi"/>
                <w:shd w:val="clear" w:color="auto" w:fill="FFFFFF"/>
              </w:rPr>
              <w:t>URL</w:t>
            </w:r>
          </w:p>
        </w:tc>
        <w:tc>
          <w:tcPr>
            <w:tcW w:w="6373" w:type="dxa"/>
            <w:vAlign w:val="center"/>
          </w:tcPr>
          <w:p w14:paraId="34F46FC2" w14:textId="63ED37EE" w:rsidR="002451A0" w:rsidRPr="002451A0" w:rsidRDefault="002451A0" w:rsidP="00F80C05">
            <w:pPr>
              <w:jc w:val="both"/>
              <w:rPr>
                <w:rFonts w:cstheme="minorHAnsi"/>
              </w:rPr>
            </w:pPr>
            <w:r w:rsidRPr="002451A0">
              <w:rPr>
                <w:rFonts w:cstheme="minorHAnsi"/>
              </w:rPr>
              <w:t>Lien Web vers le produit spécifique</w:t>
            </w:r>
          </w:p>
        </w:tc>
      </w:tr>
      <w:tr w:rsidR="002451A0" w:rsidRPr="003615A1" w14:paraId="68FAACB7" w14:textId="77777777" w:rsidTr="00F63173">
        <w:trPr>
          <w:trHeight w:val="704"/>
        </w:trPr>
        <w:tc>
          <w:tcPr>
            <w:tcW w:w="2689" w:type="dxa"/>
            <w:vAlign w:val="center"/>
          </w:tcPr>
          <w:p w14:paraId="0C25E484" w14:textId="5FE32D9A" w:rsidR="002451A0" w:rsidRPr="003615A1" w:rsidRDefault="00F63173" w:rsidP="00F80C05">
            <w:pPr>
              <w:jc w:val="both"/>
              <w:rPr>
                <w:rFonts w:cstheme="minorHAnsi"/>
              </w:rPr>
            </w:pPr>
            <w:r>
              <w:rPr>
                <w:rFonts w:cstheme="minorHAnsi"/>
              </w:rPr>
              <w:t>Product Name</w:t>
            </w:r>
          </w:p>
        </w:tc>
        <w:tc>
          <w:tcPr>
            <w:tcW w:w="6373" w:type="dxa"/>
            <w:vAlign w:val="center"/>
          </w:tcPr>
          <w:p w14:paraId="24BC5AF8" w14:textId="7999C415" w:rsidR="002451A0" w:rsidRPr="003615A1" w:rsidRDefault="002451A0" w:rsidP="00F80C05">
            <w:pPr>
              <w:jc w:val="both"/>
              <w:rPr>
                <w:rFonts w:cstheme="minorHAnsi"/>
              </w:rPr>
            </w:pPr>
            <w:r w:rsidRPr="002451A0">
              <w:rPr>
                <w:rFonts w:cstheme="minorHAnsi"/>
              </w:rPr>
              <w:t>Nom du produit spécifique</w:t>
            </w:r>
          </w:p>
        </w:tc>
      </w:tr>
      <w:tr w:rsidR="002451A0" w:rsidRPr="003615A1" w14:paraId="5387F87A" w14:textId="77777777" w:rsidTr="00F63173">
        <w:trPr>
          <w:trHeight w:val="699"/>
        </w:trPr>
        <w:tc>
          <w:tcPr>
            <w:tcW w:w="2689" w:type="dxa"/>
            <w:vAlign w:val="center"/>
          </w:tcPr>
          <w:p w14:paraId="73C0D366" w14:textId="6C919EC4" w:rsidR="002451A0" w:rsidRPr="003615A1" w:rsidRDefault="00F63173" w:rsidP="00F80C05">
            <w:pPr>
              <w:jc w:val="both"/>
              <w:rPr>
                <w:rFonts w:cstheme="minorHAnsi"/>
              </w:rPr>
            </w:pPr>
            <w:r>
              <w:rPr>
                <w:rFonts w:cstheme="minorHAnsi"/>
              </w:rPr>
              <w:t>Provider/Company Name</w:t>
            </w:r>
          </w:p>
        </w:tc>
        <w:tc>
          <w:tcPr>
            <w:tcW w:w="6373" w:type="dxa"/>
            <w:vAlign w:val="center"/>
          </w:tcPr>
          <w:p w14:paraId="477AF7F9" w14:textId="4395F809" w:rsidR="002451A0" w:rsidRPr="003615A1" w:rsidRDefault="002451A0" w:rsidP="00F80C05">
            <w:pPr>
              <w:jc w:val="both"/>
              <w:rPr>
                <w:rFonts w:cstheme="minorHAnsi"/>
              </w:rPr>
            </w:pPr>
            <w:r w:rsidRPr="002451A0">
              <w:rPr>
                <w:rFonts w:cstheme="minorHAnsi"/>
              </w:rPr>
              <w:t>Nom du fournisseur du produit</w:t>
            </w:r>
          </w:p>
        </w:tc>
      </w:tr>
      <w:tr w:rsidR="002451A0" w:rsidRPr="003615A1" w14:paraId="7D7F5611" w14:textId="77777777" w:rsidTr="00F63173">
        <w:trPr>
          <w:trHeight w:val="699"/>
        </w:trPr>
        <w:tc>
          <w:tcPr>
            <w:tcW w:w="2689" w:type="dxa"/>
            <w:vAlign w:val="center"/>
          </w:tcPr>
          <w:p w14:paraId="1DE335AE" w14:textId="78D12EC5" w:rsidR="002451A0" w:rsidRPr="002451A0" w:rsidRDefault="002451A0" w:rsidP="00F80C05">
            <w:pPr>
              <w:jc w:val="both"/>
              <w:rPr>
                <w:rFonts w:cstheme="minorHAnsi"/>
              </w:rPr>
            </w:pPr>
            <w:r w:rsidRPr="002451A0">
              <w:rPr>
                <w:rFonts w:cstheme="minorHAnsi"/>
              </w:rPr>
              <w:t>Sect</w:t>
            </w:r>
            <w:r w:rsidR="00F63173">
              <w:rPr>
                <w:rFonts w:cstheme="minorHAnsi"/>
              </w:rPr>
              <w:t>o</w:t>
            </w:r>
            <w:r w:rsidRPr="002451A0">
              <w:rPr>
                <w:rFonts w:cstheme="minorHAnsi"/>
              </w:rPr>
              <w:t>r(s)</w:t>
            </w:r>
          </w:p>
        </w:tc>
        <w:tc>
          <w:tcPr>
            <w:tcW w:w="6373" w:type="dxa"/>
            <w:vAlign w:val="center"/>
          </w:tcPr>
          <w:p w14:paraId="308F1E04" w14:textId="27C0339A" w:rsidR="002451A0" w:rsidRPr="003615A1" w:rsidRDefault="002451A0" w:rsidP="00F80C05">
            <w:pPr>
              <w:jc w:val="both"/>
              <w:rPr>
                <w:rFonts w:cstheme="minorHAnsi"/>
              </w:rPr>
            </w:pPr>
            <w:r w:rsidRPr="002451A0">
              <w:rPr>
                <w:rFonts w:cstheme="minorHAnsi"/>
              </w:rPr>
              <w:t>Secteur de l'éducation où le produit est utilisé</w:t>
            </w:r>
          </w:p>
        </w:tc>
      </w:tr>
      <w:tr w:rsidR="00D932BC" w:rsidRPr="003615A1" w14:paraId="14201805" w14:textId="77777777" w:rsidTr="00E851E0">
        <w:tc>
          <w:tcPr>
            <w:tcW w:w="2689" w:type="dxa"/>
          </w:tcPr>
          <w:p w14:paraId="661319ED" w14:textId="77777777" w:rsidR="00D932BC" w:rsidRPr="003615A1" w:rsidRDefault="00D932BC" w:rsidP="00F80C05">
            <w:pPr>
              <w:jc w:val="both"/>
              <w:rPr>
                <w:rFonts w:cstheme="minorHAnsi"/>
                <w:b/>
                <w:bCs/>
                <w:i/>
                <w:iCs/>
              </w:rPr>
            </w:pPr>
            <w:r w:rsidRPr="003615A1">
              <w:rPr>
                <w:rFonts w:cstheme="minorHAnsi"/>
                <w:b/>
                <w:bCs/>
                <w:i/>
                <w:iCs/>
              </w:rPr>
              <w:lastRenderedPageBreak/>
              <w:t>Nom</w:t>
            </w:r>
          </w:p>
        </w:tc>
        <w:tc>
          <w:tcPr>
            <w:tcW w:w="6373" w:type="dxa"/>
          </w:tcPr>
          <w:p w14:paraId="05D69508" w14:textId="77777777" w:rsidR="00D932BC" w:rsidRPr="003615A1" w:rsidRDefault="00D932BC" w:rsidP="00F80C05">
            <w:pPr>
              <w:jc w:val="both"/>
              <w:rPr>
                <w:rFonts w:cstheme="minorHAnsi"/>
                <w:b/>
                <w:bCs/>
                <w:i/>
                <w:iCs/>
              </w:rPr>
            </w:pPr>
            <w:r w:rsidRPr="003615A1">
              <w:rPr>
                <w:rFonts w:cstheme="minorHAnsi"/>
                <w:b/>
                <w:bCs/>
                <w:i/>
                <w:iCs/>
              </w:rPr>
              <w:t>Description</w:t>
            </w:r>
          </w:p>
        </w:tc>
      </w:tr>
      <w:tr w:rsidR="002451A0" w:rsidRPr="003615A1" w14:paraId="2C0DE8CF" w14:textId="77777777" w:rsidTr="00F63173">
        <w:trPr>
          <w:trHeight w:val="1984"/>
        </w:trPr>
        <w:tc>
          <w:tcPr>
            <w:tcW w:w="2689" w:type="dxa"/>
            <w:vAlign w:val="center"/>
          </w:tcPr>
          <w:p w14:paraId="7AA30B14" w14:textId="1C8B6472" w:rsidR="002451A0" w:rsidRPr="002451A0" w:rsidRDefault="00F63173" w:rsidP="00F80C05">
            <w:pPr>
              <w:jc w:val="both"/>
              <w:rPr>
                <w:rFonts w:cstheme="minorHAnsi"/>
              </w:rPr>
            </w:pPr>
            <w:r>
              <w:rPr>
                <w:rFonts w:cstheme="minorHAnsi"/>
              </w:rPr>
              <w:t>Primary Essential Function</w:t>
            </w:r>
          </w:p>
        </w:tc>
        <w:tc>
          <w:tcPr>
            <w:tcW w:w="6373" w:type="dxa"/>
            <w:vAlign w:val="center"/>
          </w:tcPr>
          <w:p w14:paraId="4C811F90" w14:textId="77777777" w:rsidR="002451A0" w:rsidRDefault="002451A0" w:rsidP="00F80C05">
            <w:pPr>
              <w:jc w:val="both"/>
              <w:rPr>
                <w:rFonts w:cstheme="minorHAnsi"/>
              </w:rPr>
            </w:pPr>
            <w:r>
              <w:rPr>
                <w:rFonts w:cstheme="minorHAnsi"/>
              </w:rPr>
              <w:t>F</w:t>
            </w:r>
            <w:r w:rsidRPr="002451A0">
              <w:rPr>
                <w:rFonts w:cstheme="minorHAnsi"/>
              </w:rPr>
              <w:t xml:space="preserve">onction de base du produit. </w:t>
            </w:r>
          </w:p>
          <w:p w14:paraId="5BECF207" w14:textId="511923D9" w:rsidR="002451A0" w:rsidRPr="003615A1" w:rsidRDefault="002451A0" w:rsidP="00F80C05">
            <w:pPr>
              <w:jc w:val="both"/>
              <w:rPr>
                <w:rFonts w:cstheme="minorHAnsi"/>
              </w:rPr>
            </w:pPr>
            <w:r w:rsidRPr="002451A0">
              <w:rPr>
                <w:rFonts w:cstheme="minorHAnsi"/>
              </w:rPr>
              <w:t>Il y a deux couches d'étiquettes ici. Les produits sont d'abord étiquetés dans l'une de ces trois catégories : LC = Apprentissage et programme d'études, CM = Gestion de classe et SDO = Opérations de l'école et du district. Chacune de ces catégories comporte plusieurs sous-catégories avec lesquelles les produits ont été étiquetés</w:t>
            </w:r>
          </w:p>
        </w:tc>
      </w:tr>
    </w:tbl>
    <w:p w14:paraId="26064F5E" w14:textId="77777777" w:rsidR="00111C6F" w:rsidRPr="003615A1" w:rsidRDefault="00111C6F" w:rsidP="00F80C05">
      <w:pPr>
        <w:jc w:val="both"/>
        <w:rPr>
          <w:rFonts w:cstheme="minorHAnsi"/>
        </w:rPr>
      </w:pPr>
    </w:p>
    <w:p w14:paraId="5A5C29AB" w14:textId="1CB75D04" w:rsidR="007C384E" w:rsidRPr="003615A1" w:rsidRDefault="007C384E" w:rsidP="00F80C05">
      <w:pPr>
        <w:jc w:val="both"/>
        <w:rPr>
          <w:rFonts w:cstheme="minorHAnsi"/>
        </w:rPr>
      </w:pPr>
    </w:p>
    <w:p w14:paraId="41781867" w14:textId="6E48AA4D" w:rsidR="007C384E" w:rsidRPr="003615A1" w:rsidRDefault="007C384E" w:rsidP="00F80C05">
      <w:pPr>
        <w:pStyle w:val="Titre2"/>
        <w:jc w:val="both"/>
        <w:rPr>
          <w:rFonts w:asciiTheme="minorHAnsi" w:hAnsiTheme="minorHAnsi" w:cstheme="minorHAnsi"/>
        </w:rPr>
      </w:pPr>
      <w:bookmarkStart w:id="7" w:name="_Toc97582908"/>
      <w:r w:rsidRPr="003615A1">
        <w:rPr>
          <w:rFonts w:asciiTheme="minorHAnsi" w:hAnsiTheme="minorHAnsi" w:cstheme="minorHAnsi"/>
        </w:rPr>
        <w:t>Districts scolaires</w:t>
      </w:r>
      <w:bookmarkEnd w:id="7"/>
    </w:p>
    <w:p w14:paraId="6AF5951C" w14:textId="77777777" w:rsidR="000B4D1B" w:rsidRDefault="007C384E" w:rsidP="00F80C05">
      <w:pPr>
        <w:ind w:firstLine="708"/>
        <w:jc w:val="both"/>
      </w:pPr>
      <w:r w:rsidRPr="003615A1">
        <w:rPr>
          <w:rFonts w:cstheme="minorHAnsi"/>
        </w:rPr>
        <w:t>Il s’agit d’un fichier .csv comprenant des informations sur les caractéristiques des districts scolaires, y compris des données du NCES (pour la connexion IP) et de la FCC (pour les impayés)</w:t>
      </w:r>
      <w:r w:rsidR="003615A1" w:rsidRPr="003615A1">
        <w:rPr>
          <w:rFonts w:cstheme="minorHAnsi"/>
        </w:rPr>
        <w:t>.</w:t>
      </w:r>
      <w:r w:rsidR="000B4D1B" w:rsidRPr="000B4D1B">
        <w:t xml:space="preserve"> </w:t>
      </w:r>
    </w:p>
    <w:p w14:paraId="2FF77C22" w14:textId="27D5FB32" w:rsidR="00080C41" w:rsidRPr="003615A1" w:rsidRDefault="000B4D1B" w:rsidP="00F80C05">
      <w:pPr>
        <w:ind w:firstLine="708"/>
        <w:jc w:val="both"/>
        <w:rPr>
          <w:rFonts w:cstheme="minorHAnsi"/>
        </w:rPr>
      </w:pPr>
      <w:r w:rsidRPr="000B4D1B">
        <w:rPr>
          <w:rFonts w:cstheme="minorHAnsi"/>
        </w:rPr>
        <w:t xml:space="preserve">Dans cet ensemble de données, </w:t>
      </w:r>
      <w:r w:rsidRPr="000B4D1B">
        <w:rPr>
          <w:rFonts w:cstheme="minorHAnsi"/>
          <w:b/>
          <w:bCs/>
        </w:rPr>
        <w:t>district districts_info.csv</w:t>
      </w:r>
      <w:r>
        <w:rPr>
          <w:rFonts w:cstheme="minorHAnsi"/>
        </w:rPr>
        <w:t>,</w:t>
      </w:r>
      <w:r w:rsidRPr="000B4D1B">
        <w:rPr>
          <w:rFonts w:cstheme="minorHAnsi"/>
        </w:rPr>
        <w:t xml:space="preserve"> les informations identifiables sur les districts scolaires</w:t>
      </w:r>
      <w:r>
        <w:rPr>
          <w:rFonts w:cstheme="minorHAnsi"/>
        </w:rPr>
        <w:t xml:space="preserve"> ont été anonymisés. </w:t>
      </w:r>
      <w:r w:rsidRPr="000B4D1B">
        <w:rPr>
          <w:rFonts w:cstheme="minorHAnsi"/>
        </w:rPr>
        <w:t>À des fins de généralisation des données, certains points de données sont publiés avec une plage dans laquelle se situe la valeur réelle. De plus, il existe de nombreuses données manquantes marquées comme "NaN", indiquant que les données ont été supprimées pour maximiser l'anonymisation de l'ensemble de données.</w:t>
      </w:r>
    </w:p>
    <w:tbl>
      <w:tblPr>
        <w:tblStyle w:val="Grilledutableau"/>
        <w:tblW w:w="0" w:type="auto"/>
        <w:tblLook w:val="04A0" w:firstRow="1" w:lastRow="0" w:firstColumn="1" w:lastColumn="0" w:noHBand="0" w:noVBand="1"/>
      </w:tblPr>
      <w:tblGrid>
        <w:gridCol w:w="2689"/>
        <w:gridCol w:w="6373"/>
      </w:tblGrid>
      <w:tr w:rsidR="00F63173" w:rsidRPr="003615A1" w14:paraId="7A85D6D1" w14:textId="77777777" w:rsidTr="003833EB">
        <w:tc>
          <w:tcPr>
            <w:tcW w:w="2689" w:type="dxa"/>
          </w:tcPr>
          <w:p w14:paraId="76FE7B2F" w14:textId="77777777" w:rsidR="00F63173" w:rsidRPr="003615A1" w:rsidRDefault="00F63173" w:rsidP="00F80C05">
            <w:pPr>
              <w:jc w:val="both"/>
              <w:rPr>
                <w:rFonts w:cstheme="minorHAnsi"/>
                <w:b/>
                <w:bCs/>
                <w:i/>
                <w:iCs/>
              </w:rPr>
            </w:pPr>
            <w:r w:rsidRPr="003615A1">
              <w:rPr>
                <w:rFonts w:cstheme="minorHAnsi"/>
                <w:b/>
                <w:bCs/>
                <w:i/>
                <w:iCs/>
              </w:rPr>
              <w:t>Nom</w:t>
            </w:r>
          </w:p>
        </w:tc>
        <w:tc>
          <w:tcPr>
            <w:tcW w:w="6373" w:type="dxa"/>
          </w:tcPr>
          <w:p w14:paraId="1BC89EEE" w14:textId="77777777" w:rsidR="00F63173" w:rsidRPr="003615A1" w:rsidRDefault="00F63173" w:rsidP="00F80C05">
            <w:pPr>
              <w:jc w:val="both"/>
              <w:rPr>
                <w:rFonts w:cstheme="minorHAnsi"/>
                <w:b/>
                <w:bCs/>
                <w:i/>
                <w:iCs/>
              </w:rPr>
            </w:pPr>
            <w:r w:rsidRPr="003615A1">
              <w:rPr>
                <w:rFonts w:cstheme="minorHAnsi"/>
                <w:b/>
                <w:bCs/>
                <w:i/>
                <w:iCs/>
              </w:rPr>
              <w:t>Description</w:t>
            </w:r>
          </w:p>
        </w:tc>
      </w:tr>
      <w:tr w:rsidR="00F63173" w:rsidRPr="002451A0" w14:paraId="39D24234" w14:textId="77777777" w:rsidTr="003833EB">
        <w:trPr>
          <w:trHeight w:val="478"/>
        </w:trPr>
        <w:tc>
          <w:tcPr>
            <w:tcW w:w="2689" w:type="dxa"/>
            <w:vAlign w:val="center"/>
          </w:tcPr>
          <w:p w14:paraId="7B8EFF44" w14:textId="4B34E006" w:rsidR="00F63173" w:rsidRPr="002451A0" w:rsidRDefault="00F63173" w:rsidP="00F80C05">
            <w:pPr>
              <w:jc w:val="both"/>
              <w:rPr>
                <w:rFonts w:cstheme="minorHAnsi"/>
              </w:rPr>
            </w:pPr>
            <w:r>
              <w:rPr>
                <w:rFonts w:cstheme="minorHAnsi"/>
              </w:rPr>
              <w:t>distict_id</w:t>
            </w:r>
          </w:p>
        </w:tc>
        <w:tc>
          <w:tcPr>
            <w:tcW w:w="6373" w:type="dxa"/>
            <w:vAlign w:val="center"/>
          </w:tcPr>
          <w:p w14:paraId="37E3D0E9" w14:textId="3252EDEE" w:rsidR="00F63173" w:rsidRPr="002451A0" w:rsidRDefault="00F63173" w:rsidP="00F80C05">
            <w:pPr>
              <w:jc w:val="both"/>
              <w:rPr>
                <w:rFonts w:cstheme="minorHAnsi"/>
              </w:rPr>
            </w:pPr>
            <w:r w:rsidRPr="002451A0">
              <w:rPr>
                <w:rFonts w:cstheme="minorHAnsi"/>
                <w:shd w:val="clear" w:color="auto" w:fill="FFFFFF"/>
              </w:rPr>
              <w:t xml:space="preserve">Identifiant unique du </w:t>
            </w:r>
            <w:r>
              <w:rPr>
                <w:rFonts w:cstheme="minorHAnsi"/>
                <w:shd w:val="clear" w:color="auto" w:fill="FFFFFF"/>
              </w:rPr>
              <w:t>district scolaire</w:t>
            </w:r>
          </w:p>
        </w:tc>
      </w:tr>
      <w:tr w:rsidR="00F63173" w:rsidRPr="002451A0" w14:paraId="16C1508D" w14:textId="77777777" w:rsidTr="003833EB">
        <w:trPr>
          <w:trHeight w:val="414"/>
        </w:trPr>
        <w:tc>
          <w:tcPr>
            <w:tcW w:w="2689" w:type="dxa"/>
            <w:vAlign w:val="center"/>
          </w:tcPr>
          <w:p w14:paraId="52428A46" w14:textId="3E44ADAA" w:rsidR="00F63173" w:rsidRPr="002451A0" w:rsidRDefault="00F63173" w:rsidP="00F80C05">
            <w:pPr>
              <w:jc w:val="both"/>
              <w:rPr>
                <w:rFonts w:cstheme="minorHAnsi"/>
              </w:rPr>
            </w:pPr>
            <w:r>
              <w:rPr>
                <w:rFonts w:cstheme="minorHAnsi"/>
              </w:rPr>
              <w:t>state</w:t>
            </w:r>
          </w:p>
        </w:tc>
        <w:tc>
          <w:tcPr>
            <w:tcW w:w="6373" w:type="dxa"/>
            <w:vAlign w:val="center"/>
          </w:tcPr>
          <w:p w14:paraId="5DBF80E9" w14:textId="4137BBCE" w:rsidR="00F63173" w:rsidRPr="002451A0" w:rsidRDefault="00F63173" w:rsidP="00F80C05">
            <w:pPr>
              <w:jc w:val="both"/>
              <w:rPr>
                <w:rFonts w:cstheme="minorHAnsi"/>
              </w:rPr>
            </w:pPr>
            <w:r>
              <w:rPr>
                <w:rFonts w:cstheme="minorHAnsi"/>
              </w:rPr>
              <w:t>E</w:t>
            </w:r>
            <w:r w:rsidRPr="00F63173">
              <w:rPr>
                <w:rFonts w:cstheme="minorHAnsi"/>
              </w:rPr>
              <w:t xml:space="preserve">tat où le district </w:t>
            </w:r>
            <w:r>
              <w:rPr>
                <w:rFonts w:cstheme="minorHAnsi"/>
              </w:rPr>
              <w:t>se trouve</w:t>
            </w:r>
          </w:p>
        </w:tc>
      </w:tr>
      <w:tr w:rsidR="00F63173" w:rsidRPr="003615A1" w14:paraId="1AA6E2AC" w14:textId="77777777" w:rsidTr="003833EB">
        <w:trPr>
          <w:trHeight w:val="704"/>
        </w:trPr>
        <w:tc>
          <w:tcPr>
            <w:tcW w:w="2689" w:type="dxa"/>
            <w:vAlign w:val="center"/>
          </w:tcPr>
          <w:p w14:paraId="113BE5E7" w14:textId="14DEA059" w:rsidR="00F63173" w:rsidRPr="003615A1" w:rsidRDefault="00F63173" w:rsidP="00F80C05">
            <w:pPr>
              <w:jc w:val="both"/>
              <w:rPr>
                <w:rFonts w:cstheme="minorHAnsi"/>
              </w:rPr>
            </w:pPr>
            <w:r>
              <w:rPr>
                <w:rFonts w:cstheme="minorHAnsi"/>
              </w:rPr>
              <w:t>local</w:t>
            </w:r>
          </w:p>
        </w:tc>
        <w:tc>
          <w:tcPr>
            <w:tcW w:w="6373" w:type="dxa"/>
            <w:vAlign w:val="center"/>
          </w:tcPr>
          <w:p w14:paraId="41EF76A1" w14:textId="5EDDA177" w:rsidR="00F63173" w:rsidRPr="003615A1" w:rsidRDefault="00F63173" w:rsidP="00F80C05">
            <w:pPr>
              <w:jc w:val="both"/>
              <w:rPr>
                <w:rFonts w:cstheme="minorHAnsi"/>
              </w:rPr>
            </w:pPr>
            <w:r w:rsidRPr="00F63173">
              <w:rPr>
                <w:rFonts w:cstheme="minorHAnsi"/>
              </w:rPr>
              <w:t>Classification locale NCES qui classe le territoire américain en quatre types de zones : ville, banlieue, ville et campagne</w:t>
            </w:r>
          </w:p>
        </w:tc>
      </w:tr>
      <w:tr w:rsidR="00F63173" w:rsidRPr="003615A1" w14:paraId="38D05139" w14:textId="77777777" w:rsidTr="003833EB">
        <w:trPr>
          <w:trHeight w:val="699"/>
        </w:trPr>
        <w:tc>
          <w:tcPr>
            <w:tcW w:w="2689" w:type="dxa"/>
            <w:vAlign w:val="center"/>
          </w:tcPr>
          <w:p w14:paraId="0F528E58" w14:textId="04362DE9" w:rsidR="00F63173" w:rsidRPr="003615A1" w:rsidRDefault="00F63173" w:rsidP="00F80C05">
            <w:pPr>
              <w:jc w:val="both"/>
              <w:rPr>
                <w:rFonts w:cstheme="minorHAnsi"/>
              </w:rPr>
            </w:pPr>
            <w:r>
              <w:rPr>
                <w:rFonts w:cstheme="minorHAnsi"/>
              </w:rPr>
              <w:t>pct_black/hispanic</w:t>
            </w:r>
          </w:p>
        </w:tc>
        <w:tc>
          <w:tcPr>
            <w:tcW w:w="6373" w:type="dxa"/>
            <w:vAlign w:val="center"/>
          </w:tcPr>
          <w:p w14:paraId="6D2B7FBC" w14:textId="2F170837" w:rsidR="00F63173" w:rsidRPr="003615A1" w:rsidRDefault="00F63173" w:rsidP="00F80C05">
            <w:pPr>
              <w:jc w:val="both"/>
              <w:rPr>
                <w:rFonts w:cstheme="minorHAnsi"/>
              </w:rPr>
            </w:pPr>
            <w:r w:rsidRPr="00F63173">
              <w:rPr>
                <w:rFonts w:cstheme="minorHAnsi"/>
              </w:rPr>
              <w:t>Pourcentage d'élèves dans les districts identifiés comme noirs ou hispaniques sur la base des données du NCES 2018-19</w:t>
            </w:r>
          </w:p>
        </w:tc>
      </w:tr>
      <w:tr w:rsidR="00F63173" w:rsidRPr="003615A1" w14:paraId="5F42D18B" w14:textId="77777777" w:rsidTr="003833EB">
        <w:trPr>
          <w:trHeight w:val="699"/>
        </w:trPr>
        <w:tc>
          <w:tcPr>
            <w:tcW w:w="2689" w:type="dxa"/>
            <w:vAlign w:val="center"/>
          </w:tcPr>
          <w:p w14:paraId="2AC8D059" w14:textId="43A661CB" w:rsidR="00F63173" w:rsidRPr="002451A0" w:rsidRDefault="00F63173" w:rsidP="00F80C05">
            <w:pPr>
              <w:jc w:val="both"/>
              <w:rPr>
                <w:rFonts w:cstheme="minorHAnsi"/>
              </w:rPr>
            </w:pPr>
            <w:r>
              <w:rPr>
                <w:rFonts w:cstheme="minorHAnsi"/>
              </w:rPr>
              <w:t>pct_free/reduced</w:t>
            </w:r>
          </w:p>
        </w:tc>
        <w:tc>
          <w:tcPr>
            <w:tcW w:w="6373" w:type="dxa"/>
            <w:vAlign w:val="center"/>
          </w:tcPr>
          <w:p w14:paraId="74EDBB99" w14:textId="35AD9298" w:rsidR="00F63173" w:rsidRPr="003615A1" w:rsidRDefault="000B4D1B" w:rsidP="00F80C05">
            <w:pPr>
              <w:jc w:val="both"/>
              <w:rPr>
                <w:rFonts w:cstheme="minorHAnsi"/>
              </w:rPr>
            </w:pPr>
            <w:r w:rsidRPr="000B4D1B">
              <w:rPr>
                <w:rFonts w:cstheme="minorHAnsi"/>
              </w:rPr>
              <w:t>Pourcentage d'élèves dans les districts éligibles à un déjeuner gratuit ou à prix réduit sur la base des données du NCES 2018-19</w:t>
            </w:r>
          </w:p>
        </w:tc>
      </w:tr>
      <w:tr w:rsidR="00F63173" w:rsidRPr="003615A1" w14:paraId="436D8CA6" w14:textId="77777777" w:rsidTr="000B4D1B">
        <w:trPr>
          <w:trHeight w:val="1039"/>
        </w:trPr>
        <w:tc>
          <w:tcPr>
            <w:tcW w:w="2689" w:type="dxa"/>
            <w:vAlign w:val="center"/>
          </w:tcPr>
          <w:p w14:paraId="216DB02B" w14:textId="6AB6029C" w:rsidR="00F63173" w:rsidRPr="002451A0" w:rsidRDefault="00F63173" w:rsidP="00F80C05">
            <w:pPr>
              <w:jc w:val="both"/>
              <w:rPr>
                <w:rFonts w:cstheme="minorHAnsi"/>
              </w:rPr>
            </w:pPr>
            <w:r>
              <w:rPr>
                <w:rFonts w:cstheme="minorHAnsi"/>
              </w:rPr>
              <w:t>county_connections_ratio</w:t>
            </w:r>
          </w:p>
        </w:tc>
        <w:tc>
          <w:tcPr>
            <w:tcW w:w="6373" w:type="dxa"/>
            <w:vAlign w:val="center"/>
          </w:tcPr>
          <w:p w14:paraId="5432FF00" w14:textId="13860D45" w:rsidR="00F63173" w:rsidRPr="003615A1" w:rsidRDefault="000B4D1B" w:rsidP="00F80C05">
            <w:pPr>
              <w:jc w:val="both"/>
              <w:rPr>
                <w:rFonts w:cstheme="minorHAnsi"/>
              </w:rPr>
            </w:pPr>
            <w:r>
              <w:rPr>
                <w:rFonts w:cstheme="minorHAnsi"/>
              </w:rPr>
              <w:t>R</w:t>
            </w:r>
            <w:r w:rsidRPr="000B4D1B">
              <w:rPr>
                <w:rFonts w:cstheme="minorHAnsi"/>
              </w:rPr>
              <w:t>atio</w:t>
            </w:r>
            <w:r>
              <w:rPr>
                <w:rFonts w:cstheme="minorHAnsi"/>
              </w:rPr>
              <w:t xml:space="preserve"> </w:t>
            </w:r>
            <w:r w:rsidRPr="000B4D1B">
              <w:rPr>
                <w:rFonts w:cstheme="minorHAnsi"/>
              </w:rPr>
              <w:t>(connexions haut débit fixes résidentielles supérieures à 200 kbps dans au moins une direction/foyers) sur la base des données au niveau du comté de FCC From 477 (version de décembre 2018)</w:t>
            </w:r>
          </w:p>
        </w:tc>
      </w:tr>
      <w:tr w:rsidR="00F63173" w:rsidRPr="003615A1" w14:paraId="1E0065DB" w14:textId="77777777" w:rsidTr="000B4D1B">
        <w:trPr>
          <w:trHeight w:val="997"/>
        </w:trPr>
        <w:tc>
          <w:tcPr>
            <w:tcW w:w="2689" w:type="dxa"/>
            <w:vAlign w:val="center"/>
          </w:tcPr>
          <w:p w14:paraId="13BD971E" w14:textId="41C4374C" w:rsidR="00F63173" w:rsidRDefault="00F63173" w:rsidP="00F80C05">
            <w:pPr>
              <w:jc w:val="both"/>
              <w:rPr>
                <w:rFonts w:cstheme="minorHAnsi"/>
              </w:rPr>
            </w:pPr>
            <w:r>
              <w:rPr>
                <w:rFonts w:cstheme="minorHAnsi"/>
              </w:rPr>
              <w:t>pp_total_raw</w:t>
            </w:r>
          </w:p>
        </w:tc>
        <w:tc>
          <w:tcPr>
            <w:tcW w:w="6373" w:type="dxa"/>
            <w:vAlign w:val="center"/>
          </w:tcPr>
          <w:p w14:paraId="6B5B05F5" w14:textId="7B0809D0" w:rsidR="00F63173" w:rsidRDefault="000B4D1B" w:rsidP="00F80C05">
            <w:pPr>
              <w:jc w:val="both"/>
              <w:rPr>
                <w:rFonts w:cstheme="minorHAnsi"/>
              </w:rPr>
            </w:pPr>
            <w:r w:rsidRPr="000B4D1B">
              <w:rPr>
                <w:rFonts w:cstheme="minorHAnsi"/>
              </w:rPr>
              <w:t>Dépenses totales par élève (somme des dépenses locales et fédérales) d'après le projet National Education Resource Database on Schools (NERD$) d'Edunomics Lab</w:t>
            </w:r>
          </w:p>
        </w:tc>
      </w:tr>
    </w:tbl>
    <w:p w14:paraId="1AFADE22" w14:textId="25287A39" w:rsidR="007C384E" w:rsidRPr="003615A1" w:rsidRDefault="007C384E" w:rsidP="00F80C05">
      <w:pPr>
        <w:jc w:val="both"/>
        <w:rPr>
          <w:rFonts w:cstheme="minorHAnsi"/>
        </w:rPr>
      </w:pPr>
    </w:p>
    <w:p w14:paraId="1CE59535" w14:textId="293F2943" w:rsidR="007C384E" w:rsidRDefault="007C384E" w:rsidP="00F80C05">
      <w:pPr>
        <w:jc w:val="both"/>
        <w:rPr>
          <w:rFonts w:cstheme="minorHAnsi"/>
        </w:rPr>
      </w:pPr>
    </w:p>
    <w:p w14:paraId="771EC009" w14:textId="71BA0B28" w:rsidR="00D932BC" w:rsidRDefault="00D932BC" w:rsidP="00F80C05">
      <w:pPr>
        <w:jc w:val="both"/>
        <w:rPr>
          <w:rFonts w:cstheme="minorHAnsi"/>
        </w:rPr>
      </w:pPr>
    </w:p>
    <w:p w14:paraId="094B0155" w14:textId="77777777" w:rsidR="00D932BC" w:rsidRPr="003615A1" w:rsidRDefault="00D932BC" w:rsidP="00F80C05">
      <w:pPr>
        <w:jc w:val="both"/>
        <w:rPr>
          <w:rFonts w:cstheme="minorHAnsi"/>
        </w:rPr>
      </w:pPr>
    </w:p>
    <w:p w14:paraId="7D487E2E" w14:textId="37246295" w:rsidR="007B1DF1" w:rsidRDefault="007B1DF1" w:rsidP="00F80C05">
      <w:pPr>
        <w:jc w:val="both"/>
        <w:rPr>
          <w:rFonts w:cstheme="minorHAnsi"/>
        </w:rPr>
      </w:pPr>
    </w:p>
    <w:p w14:paraId="09E6B7B6" w14:textId="732282D4" w:rsidR="00CA12FC" w:rsidRDefault="00CA12FC" w:rsidP="00F80C05">
      <w:pPr>
        <w:jc w:val="both"/>
        <w:rPr>
          <w:rFonts w:cstheme="minorHAnsi"/>
        </w:rPr>
      </w:pPr>
    </w:p>
    <w:p w14:paraId="0E01E452" w14:textId="237A26BB" w:rsidR="00CA12FC" w:rsidRDefault="00D5369C" w:rsidP="00F80C05">
      <w:pPr>
        <w:pStyle w:val="Titre1"/>
        <w:jc w:val="both"/>
      </w:pPr>
      <w:bookmarkStart w:id="8" w:name="_Toc97582909"/>
      <w:r>
        <w:lastRenderedPageBreak/>
        <w:t>Préparation des données</w:t>
      </w:r>
      <w:bookmarkEnd w:id="8"/>
    </w:p>
    <w:p w14:paraId="2FF10CC7" w14:textId="4D83F2C7" w:rsidR="00D5369C" w:rsidRDefault="00D5369C" w:rsidP="00F80C05">
      <w:pPr>
        <w:jc w:val="both"/>
      </w:pPr>
    </w:p>
    <w:p w14:paraId="54C25E1F" w14:textId="77777777" w:rsidR="002A30AC" w:rsidRPr="009B6D35" w:rsidRDefault="00D932BC" w:rsidP="00F80C05">
      <w:pPr>
        <w:ind w:firstLine="708"/>
        <w:jc w:val="both"/>
        <w:rPr>
          <w:highlight w:val="yellow"/>
        </w:rPr>
      </w:pPr>
      <w:r w:rsidRPr="009B6D35">
        <w:rPr>
          <w:highlight w:val="yellow"/>
        </w:rPr>
        <w:t>Dans le but</w:t>
      </w:r>
      <w:r w:rsidR="00D5369C" w:rsidRPr="009B6D35">
        <w:rPr>
          <w:highlight w:val="yellow"/>
        </w:rPr>
        <w:t xml:space="preserve"> de faciliter l</w:t>
      </w:r>
      <w:r w:rsidRPr="009B6D35">
        <w:rPr>
          <w:highlight w:val="yellow"/>
        </w:rPr>
        <w:t>es analyses, nous commençons par regrouper les trois sources</w:t>
      </w:r>
      <w:r w:rsidR="00C87C78" w:rsidRPr="009B6D35">
        <w:rPr>
          <w:highlight w:val="yellow"/>
        </w:rPr>
        <w:t xml:space="preserve"> </w:t>
      </w:r>
      <w:r w:rsidRPr="009B6D35">
        <w:rPr>
          <w:highlight w:val="yellow"/>
        </w:rPr>
        <w:t>de données</w:t>
      </w:r>
      <w:r w:rsidR="00C87C78" w:rsidRPr="009B6D35">
        <w:rPr>
          <w:highlight w:val="yellow"/>
        </w:rPr>
        <w:t xml:space="preserve">, concernant l’engagement étudiant, les technologies éducatives, et les districts scolaires, </w:t>
      </w:r>
      <w:r w:rsidRPr="009B6D35">
        <w:rPr>
          <w:highlight w:val="yellow"/>
        </w:rPr>
        <w:t xml:space="preserve">en une </w:t>
      </w:r>
      <w:r w:rsidR="00C87C78" w:rsidRPr="009B6D35">
        <w:rPr>
          <w:highlight w:val="yellow"/>
        </w:rPr>
        <w:t>unique</w:t>
      </w:r>
      <w:r w:rsidRPr="009B6D35">
        <w:rPr>
          <w:highlight w:val="yellow"/>
        </w:rPr>
        <w:t xml:space="preserve"> source.</w:t>
      </w:r>
      <w:r w:rsidR="00C87C78" w:rsidRPr="009B6D35">
        <w:rPr>
          <w:highlight w:val="yellow"/>
        </w:rPr>
        <w:t xml:space="preserve"> </w:t>
      </w:r>
    </w:p>
    <w:p w14:paraId="5A0596E1" w14:textId="44274DCD" w:rsidR="00D5369C" w:rsidRPr="009B6D35" w:rsidRDefault="00C87C78" w:rsidP="00F80C05">
      <w:pPr>
        <w:ind w:firstLine="708"/>
        <w:jc w:val="both"/>
        <w:rPr>
          <w:highlight w:val="yellow"/>
        </w:rPr>
      </w:pPr>
      <w:r w:rsidRPr="009B6D35">
        <w:rPr>
          <w:highlight w:val="yellow"/>
        </w:rPr>
        <w:t>Pour constituer la base commune, on utilise le</w:t>
      </w:r>
      <w:r w:rsidR="002A30AC" w:rsidRPr="009B6D35">
        <w:rPr>
          <w:highlight w:val="yellow"/>
        </w:rPr>
        <w:t>s</w:t>
      </w:r>
      <w:r w:rsidRPr="009B6D35">
        <w:rPr>
          <w:highlight w:val="yellow"/>
        </w:rPr>
        <w:t xml:space="preserve"> nom</w:t>
      </w:r>
      <w:r w:rsidR="002A30AC" w:rsidRPr="009B6D35">
        <w:rPr>
          <w:highlight w:val="yellow"/>
        </w:rPr>
        <w:t>s</w:t>
      </w:r>
      <w:r w:rsidRPr="009B6D35">
        <w:rPr>
          <w:highlight w:val="yellow"/>
        </w:rPr>
        <w:t xml:space="preserve"> </w:t>
      </w:r>
      <w:r w:rsidR="002A30AC" w:rsidRPr="009B6D35">
        <w:rPr>
          <w:highlight w:val="yellow"/>
        </w:rPr>
        <w:t xml:space="preserve">à 4 chiffres </w:t>
      </w:r>
      <w:r w:rsidRPr="009B6D35">
        <w:rPr>
          <w:highlight w:val="yellow"/>
        </w:rPr>
        <w:t>de</w:t>
      </w:r>
      <w:r w:rsidR="002A30AC" w:rsidRPr="009B6D35">
        <w:rPr>
          <w:highlight w:val="yellow"/>
        </w:rPr>
        <w:t>s</w:t>
      </w:r>
      <w:r w:rsidRPr="009B6D35">
        <w:rPr>
          <w:highlight w:val="yellow"/>
        </w:rPr>
        <w:t xml:space="preserve"> fichier</w:t>
      </w:r>
      <w:r w:rsidR="002A30AC" w:rsidRPr="009B6D35">
        <w:rPr>
          <w:highlight w:val="yellow"/>
        </w:rPr>
        <w:t>s</w:t>
      </w:r>
      <w:r w:rsidRPr="009B6D35">
        <w:rPr>
          <w:highlight w:val="yellow"/>
        </w:rPr>
        <w:t xml:space="preserve"> </w:t>
      </w:r>
      <w:r w:rsidR="002A30AC" w:rsidRPr="009B6D35">
        <w:rPr>
          <w:highlight w:val="yellow"/>
        </w:rPr>
        <w:t xml:space="preserve">présents dans le dossier </w:t>
      </w:r>
      <w:r w:rsidR="002A30AC" w:rsidRPr="009B6D35">
        <w:rPr>
          <w:b/>
          <w:bCs/>
          <w:highlight w:val="yellow"/>
        </w:rPr>
        <w:t>egagement_data</w:t>
      </w:r>
      <w:r w:rsidR="002A30AC" w:rsidRPr="009B6D35">
        <w:rPr>
          <w:highlight w:val="yellow"/>
        </w:rPr>
        <w:t xml:space="preserve">, qui </w:t>
      </w:r>
      <w:r w:rsidRPr="009B6D35">
        <w:rPr>
          <w:highlight w:val="yellow"/>
        </w:rPr>
        <w:t>représente</w:t>
      </w:r>
      <w:r w:rsidR="002A30AC" w:rsidRPr="009B6D35">
        <w:rPr>
          <w:highlight w:val="yellow"/>
        </w:rPr>
        <w:t xml:space="preserve"> la valeur</w:t>
      </w:r>
      <w:r w:rsidRPr="009B6D35">
        <w:rPr>
          <w:highlight w:val="yellow"/>
        </w:rPr>
        <w:t xml:space="preserve"> </w:t>
      </w:r>
      <w:r w:rsidRPr="009B6D35">
        <w:rPr>
          <w:b/>
          <w:bCs/>
          <w:highlight w:val="yellow"/>
        </w:rPr>
        <w:t>district_id</w:t>
      </w:r>
      <w:r w:rsidRPr="009B6D35">
        <w:rPr>
          <w:highlight w:val="yellow"/>
        </w:rPr>
        <w:t xml:space="preserve"> pour établir un lien vers les informations du district</w:t>
      </w:r>
      <w:r w:rsidR="002A30AC" w:rsidRPr="009B6D35">
        <w:rPr>
          <w:highlight w:val="yellow"/>
        </w:rPr>
        <w:t xml:space="preserve"> du fichier </w:t>
      </w:r>
      <w:r w:rsidR="002A30AC" w:rsidRPr="009B6D35">
        <w:rPr>
          <w:b/>
          <w:bCs/>
          <w:highlight w:val="yellow"/>
        </w:rPr>
        <w:t>district_info.csv </w:t>
      </w:r>
      <w:r w:rsidR="002A30AC" w:rsidRPr="009B6D35">
        <w:rPr>
          <w:highlight w:val="yellow"/>
        </w:rPr>
        <w:t>; et on utilise le champ</w:t>
      </w:r>
      <w:r w:rsidRPr="009B6D35">
        <w:rPr>
          <w:highlight w:val="yellow"/>
        </w:rPr>
        <w:t xml:space="preserve"> </w:t>
      </w:r>
      <w:r w:rsidRPr="009B6D35">
        <w:rPr>
          <w:b/>
          <w:bCs/>
          <w:highlight w:val="yellow"/>
        </w:rPr>
        <w:t>lp_id</w:t>
      </w:r>
      <w:r w:rsidRPr="009B6D35">
        <w:rPr>
          <w:highlight w:val="yellow"/>
        </w:rPr>
        <w:t xml:space="preserve"> </w:t>
      </w:r>
      <w:r w:rsidR="002A30AC" w:rsidRPr="009B6D35">
        <w:rPr>
          <w:highlight w:val="yellow"/>
        </w:rPr>
        <w:t xml:space="preserve">de ces fichiers </w:t>
      </w:r>
      <w:r w:rsidRPr="009B6D35">
        <w:rPr>
          <w:highlight w:val="yellow"/>
        </w:rPr>
        <w:t>pour créer un lien vers des informations sur le produit de technologie éducative</w:t>
      </w:r>
      <w:r w:rsidR="00807875" w:rsidRPr="009B6D35">
        <w:rPr>
          <w:highlight w:val="yellow"/>
        </w:rPr>
        <w:t xml:space="preserve"> du fichier </w:t>
      </w:r>
      <w:r w:rsidR="00807875" w:rsidRPr="009B6D35">
        <w:rPr>
          <w:b/>
          <w:bCs/>
          <w:highlight w:val="yellow"/>
        </w:rPr>
        <w:t>product_info.csv</w:t>
      </w:r>
      <w:r w:rsidR="00807875" w:rsidRPr="009B6D35">
        <w:rPr>
          <w:highlight w:val="yellow"/>
        </w:rPr>
        <w:t>.</w:t>
      </w:r>
    </w:p>
    <w:p w14:paraId="2CDBC919" w14:textId="33C723DB" w:rsidR="00CA12FC" w:rsidRDefault="00C377A4" w:rsidP="00F80C05">
      <w:pPr>
        <w:ind w:firstLine="708"/>
        <w:jc w:val="both"/>
        <w:rPr>
          <w:rFonts w:cstheme="minorHAnsi"/>
        </w:rPr>
      </w:pPr>
      <w:r w:rsidRPr="009B6D35">
        <w:rPr>
          <w:rFonts w:cstheme="minorHAnsi"/>
          <w:highlight w:val="yellow"/>
        </w:rPr>
        <w:t xml:space="preserve">Une fois la source de données </w:t>
      </w:r>
      <w:r w:rsidR="0011029C" w:rsidRPr="009B6D35">
        <w:rPr>
          <w:rFonts w:cstheme="minorHAnsi"/>
          <w:highlight w:val="yellow"/>
        </w:rPr>
        <w:t>définie, nous allons mettre en lumière les proportions de valeurs inconnues ou non définies pour avoir un aperçu sur la précision de nos analyses.</w:t>
      </w:r>
    </w:p>
    <w:p w14:paraId="551CEDB0" w14:textId="77777777" w:rsidR="00CA12FC" w:rsidRPr="003615A1" w:rsidRDefault="00CA12FC" w:rsidP="00F80C05">
      <w:pPr>
        <w:jc w:val="both"/>
        <w:rPr>
          <w:rFonts w:cstheme="minorHAnsi"/>
        </w:rPr>
      </w:pPr>
    </w:p>
    <w:p w14:paraId="6B2A31CA" w14:textId="4CC4F25E" w:rsidR="00080C41" w:rsidRPr="003615A1" w:rsidRDefault="00080C41" w:rsidP="00F80C05">
      <w:pPr>
        <w:jc w:val="both"/>
        <w:rPr>
          <w:rFonts w:cstheme="minorHAnsi"/>
        </w:rPr>
      </w:pPr>
    </w:p>
    <w:p w14:paraId="3A92CDDA" w14:textId="2869376A" w:rsidR="00080C41" w:rsidRPr="003615A1" w:rsidRDefault="00080C41" w:rsidP="00F80C05">
      <w:pPr>
        <w:pStyle w:val="Titre1"/>
        <w:jc w:val="both"/>
        <w:rPr>
          <w:rFonts w:asciiTheme="minorHAnsi" w:hAnsiTheme="minorHAnsi" w:cstheme="minorHAnsi"/>
        </w:rPr>
      </w:pPr>
      <w:bookmarkStart w:id="9" w:name="_Toc97582910"/>
      <w:r w:rsidRPr="003615A1">
        <w:rPr>
          <w:rFonts w:asciiTheme="minorHAnsi" w:hAnsiTheme="minorHAnsi" w:cstheme="minorHAnsi"/>
        </w:rPr>
        <w:t xml:space="preserve">Connectivité et </w:t>
      </w:r>
      <w:r w:rsidR="00C0685D" w:rsidRPr="003615A1">
        <w:rPr>
          <w:rFonts w:asciiTheme="minorHAnsi" w:hAnsiTheme="minorHAnsi" w:cstheme="minorHAnsi"/>
        </w:rPr>
        <w:t>engagement</w:t>
      </w:r>
      <w:r w:rsidRPr="003615A1">
        <w:rPr>
          <w:rFonts w:asciiTheme="minorHAnsi" w:hAnsiTheme="minorHAnsi" w:cstheme="minorHAnsi"/>
        </w:rPr>
        <w:t xml:space="preserve"> </w:t>
      </w:r>
      <w:r w:rsidR="00C0685D" w:rsidRPr="003615A1">
        <w:rPr>
          <w:rFonts w:asciiTheme="minorHAnsi" w:hAnsiTheme="minorHAnsi" w:cstheme="minorHAnsi"/>
        </w:rPr>
        <w:t>numérique</w:t>
      </w:r>
      <w:bookmarkEnd w:id="9"/>
    </w:p>
    <w:p w14:paraId="775C9AE8" w14:textId="7DF8B1CB" w:rsidR="00687038" w:rsidRDefault="00687038" w:rsidP="00F80C05">
      <w:pPr>
        <w:jc w:val="both"/>
        <w:rPr>
          <w:noProof/>
        </w:rPr>
      </w:pPr>
    </w:p>
    <w:p w14:paraId="48C9AA43" w14:textId="6F38ED69" w:rsidR="00250F38" w:rsidRDefault="00250F38" w:rsidP="00F80C05">
      <w:pPr>
        <w:pStyle w:val="Titre2"/>
        <w:jc w:val="both"/>
        <w:rPr>
          <w:noProof/>
        </w:rPr>
      </w:pPr>
      <w:bookmarkStart w:id="10" w:name="_Toc97582911"/>
      <w:r>
        <w:rPr>
          <w:noProof/>
        </w:rPr>
        <w:t>Informations générales</w:t>
      </w:r>
      <w:bookmarkEnd w:id="10"/>
    </w:p>
    <w:p w14:paraId="75F8D738" w14:textId="666565C5" w:rsidR="00250F38" w:rsidRDefault="00250F38" w:rsidP="00F80C05">
      <w:pPr>
        <w:jc w:val="both"/>
      </w:pPr>
    </w:p>
    <w:p w14:paraId="316258D5" w14:textId="77777777" w:rsidR="005541DD" w:rsidRDefault="005541DD" w:rsidP="005541DD">
      <w:pPr>
        <w:tabs>
          <w:tab w:val="left" w:pos="6036"/>
        </w:tabs>
        <w:jc w:val="both"/>
        <w:rPr>
          <w:noProof/>
        </w:rPr>
      </w:pPr>
      <w:r>
        <w:rPr>
          <w:noProof/>
        </w:rPr>
        <w:t>Au plus fort de la pandémie, la connectivité numérique ne se réduit plus aux seuls moyens de communication traditionnels et à la recherche d’informations. Elle joue désormais un rôle clé pour les particuliers et les entreprises qui souhaitent utiliser les données, contenus et applications numériques pour assurer la continuité de l'activité économique et sociale malgré les règles de distanciation sociale et le confinement strict imposé presque partout.</w:t>
      </w:r>
    </w:p>
    <w:p w14:paraId="5AFE1C18" w14:textId="0EE9CD1D" w:rsidR="00250F38" w:rsidRDefault="005541DD" w:rsidP="005541DD">
      <w:pPr>
        <w:tabs>
          <w:tab w:val="left" w:pos="6036"/>
        </w:tabs>
        <w:jc w:val="both"/>
        <w:rPr>
          <w:noProof/>
        </w:rPr>
      </w:pPr>
      <w:r>
        <w:rPr>
          <w:noProof/>
        </w:rPr>
        <w:t>D'autre part, cette situation a obligé tous les étudiants à s'engager davantage avec Internet, à tout faire en utilisant Internet. Les plateformes d'apprentissage numérique connaissent une croissance exponentielle plus que jamais. L'engagement des utilisateurs sur Internet atteint le plus haut de l'h</w:t>
      </w:r>
      <w:r>
        <w:rPr>
          <w:noProof/>
        </w:rPr>
        <w:t>istoire et ne cesse de croître.</w:t>
      </w:r>
    </w:p>
    <w:p w14:paraId="51ECBD79" w14:textId="2B25C6A9" w:rsidR="00250F38" w:rsidRPr="00250F38" w:rsidRDefault="00250F38" w:rsidP="00F80C05">
      <w:pPr>
        <w:pStyle w:val="Titre2"/>
        <w:jc w:val="both"/>
      </w:pPr>
      <w:bookmarkStart w:id="11" w:name="_Toc97582912"/>
      <w:r>
        <w:lastRenderedPageBreak/>
        <w:t>Etat de la connectivité au niveau des comtés</w:t>
      </w:r>
      <w:bookmarkEnd w:id="11"/>
    </w:p>
    <w:p w14:paraId="677F95DA" w14:textId="5EB24060" w:rsidR="00C0685D" w:rsidRPr="003615A1" w:rsidRDefault="00687038" w:rsidP="00F80C05">
      <w:pPr>
        <w:jc w:val="both"/>
        <w:rPr>
          <w:rFonts w:cstheme="minorHAnsi"/>
        </w:rPr>
      </w:pPr>
      <w:r>
        <w:rPr>
          <w:noProof/>
          <w:lang w:eastAsia="fr-FR"/>
        </w:rPr>
        <w:drawing>
          <wp:inline distT="0" distB="0" distL="0" distR="0" wp14:anchorId="7406169E" wp14:editId="36BFAE02">
            <wp:extent cx="3951515" cy="3123152"/>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6282" t="47314" r="33098" b="6070"/>
                    <a:stretch/>
                  </pic:blipFill>
                  <pic:spPr bwMode="auto">
                    <a:xfrm>
                      <a:off x="0" y="0"/>
                      <a:ext cx="3957887" cy="3128188"/>
                    </a:xfrm>
                    <a:prstGeom prst="rect">
                      <a:avLst/>
                    </a:prstGeom>
                    <a:ln>
                      <a:noFill/>
                    </a:ln>
                    <a:extLst>
                      <a:ext uri="{53640926-AAD7-44D8-BBD7-CCE9431645EC}">
                        <a14:shadowObscured xmlns:a14="http://schemas.microsoft.com/office/drawing/2010/main"/>
                      </a:ext>
                    </a:extLst>
                  </pic:spPr>
                </pic:pic>
              </a:graphicData>
            </a:graphic>
          </wp:inline>
        </w:drawing>
      </w:r>
    </w:p>
    <w:p w14:paraId="4E180B67" w14:textId="77777777" w:rsidR="007B1DF1" w:rsidRPr="003615A1" w:rsidRDefault="007B1DF1" w:rsidP="00F80C05">
      <w:pPr>
        <w:jc w:val="both"/>
        <w:rPr>
          <w:rFonts w:cstheme="minorHAnsi"/>
        </w:rPr>
      </w:pPr>
    </w:p>
    <w:p w14:paraId="60FD39D4" w14:textId="2C00E496" w:rsidR="00C0685D" w:rsidRPr="003615A1" w:rsidRDefault="00C0685D" w:rsidP="00F80C05">
      <w:pPr>
        <w:pStyle w:val="Titre1"/>
        <w:jc w:val="both"/>
        <w:rPr>
          <w:rFonts w:asciiTheme="minorHAnsi" w:hAnsiTheme="minorHAnsi" w:cstheme="minorHAnsi"/>
        </w:rPr>
      </w:pPr>
      <w:bookmarkStart w:id="12" w:name="_Toc97582913"/>
      <w:r w:rsidRPr="003615A1">
        <w:rPr>
          <w:rFonts w:asciiTheme="minorHAnsi" w:hAnsiTheme="minorHAnsi" w:cstheme="minorHAnsi"/>
        </w:rPr>
        <w:t>COVID-19 et apprentissage à distance</w:t>
      </w:r>
      <w:bookmarkEnd w:id="12"/>
    </w:p>
    <w:p w14:paraId="394E25A2" w14:textId="56A57E07" w:rsidR="00C0685D" w:rsidRPr="003615A1" w:rsidRDefault="00C0685D" w:rsidP="00F80C05">
      <w:pPr>
        <w:jc w:val="both"/>
        <w:rPr>
          <w:rFonts w:cstheme="minorHAnsi"/>
        </w:rPr>
      </w:pPr>
    </w:p>
    <w:p w14:paraId="2ECACA83" w14:textId="77777777" w:rsidR="005541DD" w:rsidRPr="00315C28" w:rsidRDefault="005541DD" w:rsidP="005541DD">
      <w:pPr>
        <w:jc w:val="both"/>
        <w:rPr>
          <w:rFonts w:cstheme="minorHAnsi"/>
        </w:rPr>
      </w:pPr>
      <w:r w:rsidRPr="00315C28">
        <w:rPr>
          <w:rFonts w:cstheme="minorHAnsi"/>
        </w:rPr>
        <w:t xml:space="preserve">La pandémie de COVID-19 a perturbé l'apprentissage de plus </w:t>
      </w:r>
      <w:r>
        <w:rPr>
          <w:rFonts w:cstheme="minorHAnsi"/>
        </w:rPr>
        <w:t xml:space="preserve">de 90% des élèves </w:t>
      </w:r>
      <w:r w:rsidRPr="00315C28">
        <w:rPr>
          <w:rFonts w:cstheme="minorHAnsi"/>
        </w:rPr>
        <w:t xml:space="preserve">qui ont été touchés par la fermeture </w:t>
      </w:r>
      <w:r>
        <w:rPr>
          <w:rFonts w:cstheme="minorHAnsi"/>
        </w:rPr>
        <w:t>de leurs écoles,</w:t>
      </w:r>
      <w:r w:rsidRPr="00315C28">
        <w:rPr>
          <w:rFonts w:cstheme="minorHAnsi"/>
        </w:rPr>
        <w:t xml:space="preserve"> ce qui a mené de nombr</w:t>
      </w:r>
      <w:r>
        <w:rPr>
          <w:rFonts w:cstheme="minorHAnsi"/>
        </w:rPr>
        <w:t xml:space="preserve">eux établissements scolaires </w:t>
      </w:r>
      <w:r w:rsidRPr="00315C28">
        <w:rPr>
          <w:rFonts w:cstheme="minorHAnsi"/>
        </w:rPr>
        <w:t>à s'adapter et à trouver des moyens alternatifs pour mener à bien leurs processus. De nombreuses écoles ont eu recours à l'apprentissage en ligne pour faire face aux restrictions im</w:t>
      </w:r>
      <w:r>
        <w:rPr>
          <w:rFonts w:cstheme="minorHAnsi"/>
        </w:rPr>
        <w:t>posées en raison de la pandémie</w:t>
      </w:r>
    </w:p>
    <w:p w14:paraId="57F8A1C9" w14:textId="4E697597" w:rsidR="00294CA4" w:rsidRPr="005541DD" w:rsidRDefault="005541DD" w:rsidP="00F80C05">
      <w:pPr>
        <w:jc w:val="both"/>
        <w:rPr>
          <w:rFonts w:cstheme="minorHAnsi"/>
        </w:rPr>
      </w:pPr>
      <w:r w:rsidRPr="00315C28">
        <w:rPr>
          <w:rFonts w:cstheme="minorHAnsi"/>
        </w:rPr>
        <w:t>Pour ceux qui n'ont pas accès à internet, l'éducation peut être inaccessible et doit re</w:t>
      </w:r>
      <w:r>
        <w:rPr>
          <w:rFonts w:cstheme="minorHAnsi"/>
        </w:rPr>
        <w:t xml:space="preserve">lever encore plus d'obstacles. </w:t>
      </w:r>
    </w:p>
    <w:p w14:paraId="3F0E5950" w14:textId="77777777" w:rsidR="001F07E3" w:rsidRDefault="001F07E3" w:rsidP="00F80C05">
      <w:pPr>
        <w:jc w:val="both"/>
        <w:rPr>
          <w:noProof/>
        </w:rPr>
      </w:pPr>
    </w:p>
    <w:p w14:paraId="1E102351" w14:textId="18E14123" w:rsidR="001F07E3" w:rsidRDefault="001F07E3" w:rsidP="00F80C05">
      <w:pPr>
        <w:pStyle w:val="Titre2"/>
        <w:jc w:val="both"/>
      </w:pPr>
      <w:bookmarkStart w:id="13" w:name="_Toc97582914"/>
      <w:r>
        <w:t>Engagement en fonction du temps en 2020</w:t>
      </w:r>
      <w:bookmarkEnd w:id="13"/>
    </w:p>
    <w:p w14:paraId="148CA526" w14:textId="77777777" w:rsidR="001F07E3" w:rsidRPr="001F07E3" w:rsidRDefault="001F07E3" w:rsidP="00F80C05">
      <w:pPr>
        <w:jc w:val="both"/>
      </w:pPr>
    </w:p>
    <w:p w14:paraId="7EC39FEC" w14:textId="3533C4C2" w:rsidR="00C0685D" w:rsidRDefault="001F07E3" w:rsidP="00F80C05">
      <w:pPr>
        <w:jc w:val="both"/>
        <w:rPr>
          <w:rFonts w:cstheme="minorHAnsi"/>
        </w:rPr>
      </w:pPr>
      <w:r>
        <w:rPr>
          <w:noProof/>
          <w:lang w:eastAsia="fr-FR"/>
        </w:rPr>
        <w:lastRenderedPageBreak/>
        <w:drawing>
          <wp:inline distT="0" distB="0" distL="0" distR="0" wp14:anchorId="7FD89BDE" wp14:editId="46CCA25B">
            <wp:extent cx="5760720" cy="304673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046730"/>
                    </a:xfrm>
                    <a:prstGeom prst="rect">
                      <a:avLst/>
                    </a:prstGeom>
                    <a:noFill/>
                    <a:ln>
                      <a:noFill/>
                    </a:ln>
                  </pic:spPr>
                </pic:pic>
              </a:graphicData>
            </a:graphic>
          </wp:inline>
        </w:drawing>
      </w:r>
    </w:p>
    <w:p w14:paraId="6573D84F" w14:textId="675B19C1" w:rsidR="001F07E3" w:rsidRDefault="001F07E3" w:rsidP="00F80C05">
      <w:pPr>
        <w:ind w:firstLine="708"/>
        <w:jc w:val="both"/>
        <w:rPr>
          <w:rFonts w:cstheme="minorHAnsi"/>
        </w:rPr>
      </w:pPr>
      <w:r>
        <w:rPr>
          <w:rFonts w:cstheme="minorHAnsi"/>
        </w:rPr>
        <w:t>Ce graphique représente l’engagement des étudiant, par le n</w:t>
      </w:r>
      <w:r w:rsidRPr="001F07E3">
        <w:rPr>
          <w:rFonts w:cstheme="minorHAnsi"/>
        </w:rPr>
        <w:t>ombre total d'événements de chargement de page d'un</w:t>
      </w:r>
      <w:r>
        <w:rPr>
          <w:rFonts w:cstheme="minorHAnsi"/>
        </w:rPr>
        <w:t>e solution éducative</w:t>
      </w:r>
      <w:r w:rsidR="00FE10C6">
        <w:rPr>
          <w:rFonts w:cstheme="minorHAnsi"/>
        </w:rPr>
        <w:t>, sur la période du 1</w:t>
      </w:r>
      <w:r w:rsidR="00FE10C6" w:rsidRPr="00FE10C6">
        <w:rPr>
          <w:rFonts w:cstheme="minorHAnsi"/>
          <w:vertAlign w:val="superscript"/>
        </w:rPr>
        <w:t>er</w:t>
      </w:r>
      <w:r w:rsidR="00FE10C6">
        <w:rPr>
          <w:rFonts w:cstheme="minorHAnsi"/>
        </w:rPr>
        <w:t xml:space="preserve"> janvier au 31 décembre 2020.</w:t>
      </w:r>
    </w:p>
    <w:p w14:paraId="5024718D" w14:textId="492E5B3F" w:rsidR="001722B3" w:rsidRDefault="001722B3" w:rsidP="00F80C05">
      <w:pPr>
        <w:jc w:val="both"/>
        <w:rPr>
          <w:rFonts w:cstheme="minorHAnsi"/>
        </w:rPr>
      </w:pPr>
      <w:r>
        <w:rPr>
          <w:rFonts w:cstheme="minorHAnsi"/>
        </w:rPr>
        <w:t xml:space="preserve">On </w:t>
      </w:r>
      <w:r w:rsidR="00705FFB">
        <w:rPr>
          <w:rFonts w:cstheme="minorHAnsi"/>
        </w:rPr>
        <w:t>remarque</w:t>
      </w:r>
      <w:r>
        <w:rPr>
          <w:rFonts w:cstheme="minorHAnsi"/>
        </w:rPr>
        <w:t xml:space="preserve"> que :</w:t>
      </w:r>
    </w:p>
    <w:p w14:paraId="0DFCB45C" w14:textId="4D1E3C34" w:rsidR="008B5D3F" w:rsidRDefault="001722B3" w:rsidP="00F80C05">
      <w:pPr>
        <w:pStyle w:val="Paragraphedeliste"/>
        <w:numPr>
          <w:ilvl w:val="0"/>
          <w:numId w:val="4"/>
        </w:numPr>
        <w:jc w:val="both"/>
        <w:rPr>
          <w:rFonts w:cstheme="minorHAnsi"/>
        </w:rPr>
      </w:pPr>
      <w:r w:rsidRPr="001722B3">
        <w:rPr>
          <w:rFonts w:cstheme="minorHAnsi"/>
        </w:rPr>
        <w:t>L</w:t>
      </w:r>
      <w:r w:rsidR="008B5D3F" w:rsidRPr="001722B3">
        <w:rPr>
          <w:rFonts w:cstheme="minorHAnsi"/>
        </w:rPr>
        <w:t xml:space="preserve">’épidémie a provoqué une fermeture temporaire des écoles </w:t>
      </w:r>
      <w:r w:rsidR="007C15C0">
        <w:rPr>
          <w:rFonts w:cstheme="minorHAnsi"/>
        </w:rPr>
        <w:t>à partir de mi-février</w:t>
      </w:r>
      <w:r w:rsidR="008B5D3F" w:rsidRPr="001722B3">
        <w:rPr>
          <w:rFonts w:cstheme="minorHAnsi"/>
        </w:rPr>
        <w:t xml:space="preserve"> </w:t>
      </w:r>
      <w:r w:rsidR="007C15C0">
        <w:rPr>
          <w:rFonts w:cstheme="minorHAnsi"/>
        </w:rPr>
        <w:t xml:space="preserve">avant l’annonce par l’OMS officielle du 11 mars 2020 qui définit le COVID-19 comme pandémie. Et </w:t>
      </w:r>
      <w:r w:rsidR="008B5D3F" w:rsidRPr="001722B3">
        <w:rPr>
          <w:rFonts w:cstheme="minorHAnsi"/>
        </w:rPr>
        <w:t>c’est précisément à partir de cette période que le nombre de pages consultées augmente, ce qui signifie que l'apprentissage numérique est utilisé plus fréquemment qu'auparavant.</w:t>
      </w:r>
    </w:p>
    <w:p w14:paraId="44B139C0" w14:textId="590B7166" w:rsidR="001722B3" w:rsidRDefault="001722B3" w:rsidP="00F80C05">
      <w:pPr>
        <w:pStyle w:val="Paragraphedeliste"/>
        <w:numPr>
          <w:ilvl w:val="0"/>
          <w:numId w:val="4"/>
        </w:numPr>
        <w:jc w:val="both"/>
        <w:rPr>
          <w:rFonts w:cstheme="minorHAnsi"/>
        </w:rPr>
      </w:pPr>
      <w:r>
        <w:rPr>
          <w:rFonts w:cstheme="minorHAnsi"/>
        </w:rPr>
        <w:t>L</w:t>
      </w:r>
      <w:r w:rsidRPr="001722B3">
        <w:rPr>
          <w:rFonts w:cstheme="minorHAnsi"/>
        </w:rPr>
        <w:t>e très faible nombre de pages consultées chaque week-end</w:t>
      </w:r>
      <w:r>
        <w:rPr>
          <w:rFonts w:cstheme="minorHAnsi"/>
        </w:rPr>
        <w:t xml:space="preserve"> transparaît distinctement sur le graphique, ce qui dépeint la plage d’apprentissage privilégiée des étudiants est du lundi au vendredi</w:t>
      </w:r>
      <w:r w:rsidR="00705FFB">
        <w:rPr>
          <w:rFonts w:cstheme="minorHAnsi"/>
        </w:rPr>
        <w:t>.</w:t>
      </w:r>
    </w:p>
    <w:p w14:paraId="2CBF8EF8" w14:textId="62160A1E" w:rsidR="001722B3" w:rsidRPr="001722B3" w:rsidRDefault="001722B3" w:rsidP="00F80C05">
      <w:pPr>
        <w:pStyle w:val="Paragraphedeliste"/>
        <w:numPr>
          <w:ilvl w:val="0"/>
          <w:numId w:val="4"/>
        </w:numPr>
        <w:jc w:val="both"/>
        <w:rPr>
          <w:rFonts w:cstheme="minorHAnsi"/>
        </w:rPr>
      </w:pPr>
      <w:r>
        <w:rPr>
          <w:rFonts w:cstheme="minorHAnsi"/>
        </w:rPr>
        <w:t>T</w:t>
      </w:r>
      <w:r w:rsidRPr="001722B3">
        <w:rPr>
          <w:rFonts w:cstheme="minorHAnsi"/>
        </w:rPr>
        <w:t xml:space="preserve">out comme les activités </w:t>
      </w:r>
      <w:r>
        <w:rPr>
          <w:rFonts w:cstheme="minorHAnsi"/>
        </w:rPr>
        <w:t>les</w:t>
      </w:r>
      <w:r w:rsidRPr="001722B3">
        <w:rPr>
          <w:rFonts w:cstheme="minorHAnsi"/>
        </w:rPr>
        <w:t xml:space="preserve"> week-end</w:t>
      </w:r>
      <w:r>
        <w:rPr>
          <w:rFonts w:cstheme="minorHAnsi"/>
        </w:rPr>
        <w:t>s</w:t>
      </w:r>
      <w:r w:rsidRPr="001722B3">
        <w:rPr>
          <w:rFonts w:cstheme="minorHAnsi"/>
        </w:rPr>
        <w:t>, le nombre de pages consultées est également très faible pendant les vacances d'été</w:t>
      </w:r>
      <w:r>
        <w:rPr>
          <w:rFonts w:cstheme="minorHAnsi"/>
        </w:rPr>
        <w:t xml:space="preserve"> (fin juin à début septembre)</w:t>
      </w:r>
      <w:r w:rsidRPr="001722B3">
        <w:rPr>
          <w:rFonts w:cstheme="minorHAnsi"/>
        </w:rPr>
        <w:t xml:space="preserve">, ce qui signifie également que les étudiants utilisent </w:t>
      </w:r>
      <w:r>
        <w:rPr>
          <w:rFonts w:cstheme="minorHAnsi"/>
        </w:rPr>
        <w:t>peu</w:t>
      </w:r>
      <w:r w:rsidRPr="001722B3">
        <w:rPr>
          <w:rFonts w:cstheme="minorHAnsi"/>
        </w:rPr>
        <w:t xml:space="preserve"> les produits</w:t>
      </w:r>
      <w:r>
        <w:rPr>
          <w:rFonts w:cstheme="minorHAnsi"/>
        </w:rPr>
        <w:t xml:space="preserve"> en dehors des plages réservées à l’apprentissage</w:t>
      </w:r>
      <w:r w:rsidRPr="001722B3">
        <w:rPr>
          <w:rFonts w:cstheme="minorHAnsi"/>
        </w:rPr>
        <w:t>.</w:t>
      </w:r>
    </w:p>
    <w:p w14:paraId="159C0306" w14:textId="631EE2C8" w:rsidR="00FE10C6" w:rsidRDefault="00893C43" w:rsidP="00F80C05">
      <w:pPr>
        <w:jc w:val="both"/>
        <w:rPr>
          <w:rFonts w:cstheme="minorHAnsi"/>
        </w:rPr>
      </w:pPr>
      <w:r w:rsidRPr="009B6D35">
        <w:rPr>
          <w:rFonts w:cstheme="minorHAnsi"/>
          <w:highlight w:val="yellow"/>
        </w:rPr>
        <w:t>****R****</w:t>
      </w:r>
    </w:p>
    <w:p w14:paraId="767BD382" w14:textId="77777777" w:rsidR="001F07E3" w:rsidRPr="003615A1" w:rsidRDefault="001F07E3" w:rsidP="00F80C05">
      <w:pPr>
        <w:jc w:val="both"/>
        <w:rPr>
          <w:rFonts w:cstheme="minorHAnsi"/>
        </w:rPr>
      </w:pPr>
    </w:p>
    <w:p w14:paraId="467D148C" w14:textId="28D7F49D" w:rsidR="00C0685D" w:rsidRDefault="00C0685D" w:rsidP="00F80C05">
      <w:pPr>
        <w:pStyle w:val="Titre1"/>
        <w:jc w:val="both"/>
        <w:rPr>
          <w:rFonts w:asciiTheme="minorHAnsi" w:hAnsiTheme="minorHAnsi" w:cstheme="minorHAnsi"/>
        </w:rPr>
      </w:pPr>
      <w:bookmarkStart w:id="14" w:name="_Toc97582915"/>
      <w:r w:rsidRPr="003615A1">
        <w:rPr>
          <w:rFonts w:asciiTheme="minorHAnsi" w:hAnsiTheme="minorHAnsi" w:cstheme="minorHAnsi"/>
        </w:rPr>
        <w:t>Engagement étudiant et technologies éducatives</w:t>
      </w:r>
      <w:bookmarkEnd w:id="14"/>
    </w:p>
    <w:p w14:paraId="2DEF0561" w14:textId="77777777" w:rsidR="005541DD" w:rsidRPr="005541DD" w:rsidRDefault="005541DD" w:rsidP="005541DD"/>
    <w:p w14:paraId="70B6BFF5" w14:textId="77777777" w:rsidR="005541DD" w:rsidRDefault="005541DD" w:rsidP="005541DD">
      <w:r w:rsidRPr="00971FFA">
        <w:t>Avant la pandémie, la technologie était un outil utilisé pour améliorer l'apprentissage dans n'importe quelle matière. Après la pandémie elle est devenue le canal et la substance de l'éducation elle-même. Elle a changé la façon dont les enseignants et les élèves collectent, accèdent, analysent, présentent et transmettent les informations. La technologie a rendu l'apprentissage plus interactif et collaboratif, a aidé les étudiants à s'impliquer davantage dans le matériel qu'ils apprennent et avec lequel ils ont des difficultés.</w:t>
      </w:r>
    </w:p>
    <w:p w14:paraId="1A3110E0" w14:textId="6342FCBC" w:rsidR="00C0685D" w:rsidRDefault="00C0685D" w:rsidP="00F80C05">
      <w:pPr>
        <w:jc w:val="both"/>
        <w:rPr>
          <w:rFonts w:cstheme="minorHAnsi"/>
        </w:rPr>
      </w:pPr>
    </w:p>
    <w:p w14:paraId="1BE6B31B" w14:textId="57AF75D5" w:rsidR="00250F38" w:rsidRDefault="00250F38" w:rsidP="00F80C05">
      <w:pPr>
        <w:pStyle w:val="Titre2"/>
        <w:jc w:val="both"/>
      </w:pPr>
      <w:bookmarkStart w:id="15" w:name="_Toc97582916"/>
      <w:r>
        <w:lastRenderedPageBreak/>
        <w:t>Catégories et secteurs des produits d’apprentissage</w:t>
      </w:r>
      <w:bookmarkEnd w:id="15"/>
    </w:p>
    <w:p w14:paraId="01483E94" w14:textId="4B957135" w:rsidR="00250F38" w:rsidRDefault="00250F38" w:rsidP="00F80C05">
      <w:pPr>
        <w:jc w:val="both"/>
      </w:pPr>
    </w:p>
    <w:p w14:paraId="3F24D5FF" w14:textId="1651B47F" w:rsidR="00250F38" w:rsidRDefault="00250F38" w:rsidP="00F80C05">
      <w:pPr>
        <w:pStyle w:val="Titre2"/>
        <w:jc w:val="both"/>
      </w:pPr>
      <w:bookmarkStart w:id="16" w:name="_Toc97582917"/>
      <w:r>
        <w:t>Produits et fournisseurs prédominants</w:t>
      </w:r>
      <w:bookmarkEnd w:id="16"/>
      <w:r>
        <w:t xml:space="preserve"> </w:t>
      </w:r>
    </w:p>
    <w:p w14:paraId="57861E43" w14:textId="4F43DE09" w:rsidR="00250F38" w:rsidRDefault="00250F38" w:rsidP="00F80C05">
      <w:pPr>
        <w:jc w:val="both"/>
      </w:pPr>
    </w:p>
    <w:p w14:paraId="79A9D61C" w14:textId="77777777" w:rsidR="00250F38" w:rsidRPr="00250F38" w:rsidRDefault="00250F38" w:rsidP="00F80C05">
      <w:pPr>
        <w:jc w:val="both"/>
      </w:pPr>
    </w:p>
    <w:p w14:paraId="25E16698" w14:textId="0387DE05" w:rsidR="00C0685D" w:rsidRDefault="000C1901" w:rsidP="00F80C05">
      <w:pPr>
        <w:jc w:val="both"/>
        <w:rPr>
          <w:rFonts w:cstheme="minorHAnsi"/>
        </w:rPr>
      </w:pPr>
      <w:r>
        <w:rPr>
          <w:noProof/>
          <w:lang w:eastAsia="fr-FR"/>
        </w:rPr>
        <w:drawing>
          <wp:inline distT="0" distB="0" distL="0" distR="0" wp14:anchorId="5B64267C" wp14:editId="7CE06895">
            <wp:extent cx="5760720" cy="28854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85440"/>
                    </a:xfrm>
                    <a:prstGeom prst="rect">
                      <a:avLst/>
                    </a:prstGeom>
                  </pic:spPr>
                </pic:pic>
              </a:graphicData>
            </a:graphic>
          </wp:inline>
        </w:drawing>
      </w:r>
    </w:p>
    <w:p w14:paraId="0E5D2463" w14:textId="77777777" w:rsidR="00250F38" w:rsidRPr="003615A1" w:rsidRDefault="00250F38" w:rsidP="00F80C05">
      <w:pPr>
        <w:jc w:val="both"/>
        <w:rPr>
          <w:rFonts w:cstheme="minorHAnsi"/>
        </w:rPr>
      </w:pPr>
    </w:p>
    <w:p w14:paraId="16DEED87" w14:textId="3A28F45A" w:rsidR="00C0685D" w:rsidRPr="003615A1" w:rsidRDefault="00C0685D" w:rsidP="00F80C05">
      <w:pPr>
        <w:pStyle w:val="Titre1"/>
        <w:jc w:val="both"/>
        <w:rPr>
          <w:rFonts w:asciiTheme="minorHAnsi" w:hAnsiTheme="minorHAnsi" w:cstheme="minorHAnsi"/>
        </w:rPr>
      </w:pPr>
      <w:bookmarkStart w:id="17" w:name="_Toc97582918"/>
      <w:r w:rsidRPr="003615A1">
        <w:rPr>
          <w:rFonts w:asciiTheme="minorHAnsi" w:hAnsiTheme="minorHAnsi" w:cstheme="minorHAnsi"/>
        </w:rPr>
        <w:t>Engagement étudiant et facteur</w:t>
      </w:r>
      <w:r w:rsidR="007B1DF1" w:rsidRPr="003615A1">
        <w:rPr>
          <w:rFonts w:asciiTheme="minorHAnsi" w:hAnsiTheme="minorHAnsi" w:cstheme="minorHAnsi"/>
        </w:rPr>
        <w:t>s</w:t>
      </w:r>
      <w:r w:rsidRPr="003615A1">
        <w:rPr>
          <w:rFonts w:asciiTheme="minorHAnsi" w:hAnsiTheme="minorHAnsi" w:cstheme="minorHAnsi"/>
        </w:rPr>
        <w:t xml:space="preserve"> sociogéographiques</w:t>
      </w:r>
      <w:bookmarkEnd w:id="17"/>
    </w:p>
    <w:p w14:paraId="3D802E10" w14:textId="7303EF1F" w:rsidR="00C0685D" w:rsidRPr="003615A1" w:rsidRDefault="00C0685D" w:rsidP="00F80C05">
      <w:pPr>
        <w:jc w:val="both"/>
        <w:rPr>
          <w:rFonts w:cstheme="minorHAnsi"/>
        </w:rPr>
      </w:pPr>
    </w:p>
    <w:p w14:paraId="78F96F52" w14:textId="299F0895" w:rsidR="00C0685D" w:rsidRDefault="00250F38" w:rsidP="00F80C05">
      <w:pPr>
        <w:pStyle w:val="Titre2"/>
        <w:jc w:val="both"/>
      </w:pPr>
      <w:bookmarkStart w:id="18" w:name="_Toc97582919"/>
      <w:r>
        <w:t>Répartition géographique de</w:t>
      </w:r>
      <w:r w:rsidR="00B1293B">
        <w:t>s engagements étudiants</w:t>
      </w:r>
      <w:bookmarkEnd w:id="18"/>
    </w:p>
    <w:p w14:paraId="551911EC" w14:textId="66E3FF34" w:rsidR="00B1293B" w:rsidRDefault="005541DD" w:rsidP="00F80C05">
      <w:pPr>
        <w:jc w:val="both"/>
      </w:pPr>
      <w:r>
        <w:rPr>
          <w:noProof/>
          <w:lang w:eastAsia="fr-FR"/>
        </w:rPr>
        <w:drawing>
          <wp:inline distT="0" distB="0" distL="0" distR="0" wp14:anchorId="53C259F0" wp14:editId="7A045D59">
            <wp:extent cx="5760720" cy="34702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hdhr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470275"/>
                    </a:xfrm>
                    <a:prstGeom prst="rect">
                      <a:avLst/>
                    </a:prstGeom>
                  </pic:spPr>
                </pic:pic>
              </a:graphicData>
            </a:graphic>
          </wp:inline>
        </w:drawing>
      </w:r>
    </w:p>
    <w:p w14:paraId="24EC8E80" w14:textId="491472DA" w:rsidR="00B1293B" w:rsidRDefault="00B1293B" w:rsidP="00F80C05">
      <w:pPr>
        <w:pStyle w:val="Titre2"/>
        <w:jc w:val="both"/>
      </w:pPr>
      <w:bookmarkStart w:id="19" w:name="_Toc97582920"/>
      <w:r>
        <w:lastRenderedPageBreak/>
        <w:t>Engagements des communautés noire et hispanique</w:t>
      </w:r>
      <w:bookmarkStart w:id="20" w:name="_GoBack"/>
      <w:bookmarkEnd w:id="19"/>
      <w:bookmarkEnd w:id="20"/>
    </w:p>
    <w:p w14:paraId="3086FBD9" w14:textId="457887D4" w:rsidR="00B1293B" w:rsidRDefault="00B1293B" w:rsidP="00F80C05">
      <w:pPr>
        <w:jc w:val="both"/>
      </w:pPr>
    </w:p>
    <w:p w14:paraId="3BFF9B3F" w14:textId="77777777" w:rsidR="00B1293B" w:rsidRPr="00B1293B" w:rsidRDefault="00B1293B" w:rsidP="00F80C05">
      <w:pPr>
        <w:jc w:val="both"/>
      </w:pPr>
    </w:p>
    <w:p w14:paraId="6A0D16E1" w14:textId="7F3E8D56" w:rsidR="00C0685D" w:rsidRDefault="00C0685D" w:rsidP="00F80C05">
      <w:pPr>
        <w:pStyle w:val="Titre1"/>
        <w:jc w:val="both"/>
        <w:rPr>
          <w:rFonts w:asciiTheme="minorHAnsi" w:hAnsiTheme="minorHAnsi" w:cstheme="minorHAnsi"/>
        </w:rPr>
      </w:pPr>
      <w:bookmarkStart w:id="21" w:name="_Toc97582921"/>
      <w:r w:rsidRPr="003615A1">
        <w:rPr>
          <w:rFonts w:asciiTheme="minorHAnsi" w:hAnsiTheme="minorHAnsi" w:cstheme="minorHAnsi"/>
        </w:rPr>
        <w:t>Engagement étudiant et politiques d’Etat</w:t>
      </w:r>
      <w:bookmarkEnd w:id="21"/>
    </w:p>
    <w:p w14:paraId="1DC10A8A" w14:textId="11BE11FF" w:rsidR="00B1293B" w:rsidRDefault="00B1293B" w:rsidP="00F80C05">
      <w:pPr>
        <w:jc w:val="both"/>
      </w:pPr>
    </w:p>
    <w:p w14:paraId="43C53083" w14:textId="3A3F146A" w:rsidR="00B1293B" w:rsidRDefault="00B1293B" w:rsidP="00F80C05">
      <w:pPr>
        <w:pStyle w:val="Titre2"/>
        <w:jc w:val="both"/>
      </w:pPr>
      <w:bookmarkStart w:id="22" w:name="_Toc97582922"/>
      <w:r>
        <w:t>Dépenses totales</w:t>
      </w:r>
      <w:r w:rsidRPr="00B1293B">
        <w:t xml:space="preserve"> locales et fédérales</w:t>
      </w:r>
      <w:r>
        <w:t xml:space="preserve"> par élève</w:t>
      </w:r>
      <w:bookmarkEnd w:id="22"/>
    </w:p>
    <w:p w14:paraId="0FE45095" w14:textId="004B86CA" w:rsidR="00B61C4F" w:rsidRDefault="00B61C4F" w:rsidP="00F80C05">
      <w:pPr>
        <w:jc w:val="both"/>
      </w:pPr>
    </w:p>
    <w:p w14:paraId="6C7EAEE0" w14:textId="22EC518A" w:rsidR="002064A7" w:rsidRDefault="002064A7" w:rsidP="00F80C05">
      <w:pPr>
        <w:jc w:val="both"/>
      </w:pPr>
      <w:r>
        <w:rPr>
          <w:noProof/>
          <w:lang w:eastAsia="fr-FR"/>
        </w:rPr>
        <w:drawing>
          <wp:inline distT="0" distB="0" distL="0" distR="0" wp14:anchorId="08E3860B" wp14:editId="1B9A1C61">
            <wp:extent cx="5039360" cy="33909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23"/>
                    <a:stretch>
                      <a:fillRect/>
                    </a:stretch>
                  </pic:blipFill>
                  <pic:spPr>
                    <a:xfrm>
                      <a:off x="0" y="0"/>
                      <a:ext cx="5039360" cy="3390900"/>
                    </a:xfrm>
                    <a:prstGeom prst="rect">
                      <a:avLst/>
                    </a:prstGeom>
                  </pic:spPr>
                </pic:pic>
              </a:graphicData>
            </a:graphic>
          </wp:inline>
        </w:drawing>
      </w:r>
    </w:p>
    <w:p w14:paraId="5F00E66F" w14:textId="375EBBAA" w:rsidR="002064A7" w:rsidRDefault="002064A7" w:rsidP="00F80C05">
      <w:pPr>
        <w:ind w:firstLine="708"/>
        <w:jc w:val="both"/>
      </w:pPr>
      <w:bookmarkStart w:id="23" w:name="_Hlk97584065"/>
      <w:r>
        <w:t>Ce graphique montre le</w:t>
      </w:r>
      <w:r w:rsidR="00E43240">
        <w:t xml:space="preserve"> nombre de pages chargées en fonction du</w:t>
      </w:r>
      <w:r>
        <w:t xml:space="preserve"> montant des budgets alloués aux écoles </w:t>
      </w:r>
      <w:r w:rsidRPr="002064A7">
        <w:t>provenant du projet National Education Resource Database on Schools (NERD$) du Edunomics Lab.</w:t>
      </w:r>
    </w:p>
    <w:p w14:paraId="33C9D81B" w14:textId="21E1C7D0" w:rsidR="00B61C4F" w:rsidRDefault="002064A7" w:rsidP="00F80C05">
      <w:pPr>
        <w:jc w:val="both"/>
      </w:pPr>
      <w:r>
        <w:t>On observe que</w:t>
      </w:r>
      <w:r w:rsidR="00B61C4F">
        <w:t xml:space="preserve"> :</w:t>
      </w:r>
    </w:p>
    <w:bookmarkEnd w:id="23"/>
    <w:p w14:paraId="01BBEA5E" w14:textId="7F7D313C" w:rsidR="00B61C4F" w:rsidRDefault="002064A7" w:rsidP="00F80C05">
      <w:pPr>
        <w:pStyle w:val="Paragraphedeliste"/>
        <w:numPr>
          <w:ilvl w:val="0"/>
          <w:numId w:val="5"/>
        </w:numPr>
        <w:jc w:val="both"/>
      </w:pPr>
      <w:r>
        <w:t>P</w:t>
      </w:r>
      <w:r w:rsidR="00B61C4F">
        <w:t>rès de la moitié des informations sur les dépenses totales par élève sont marquées comme inconnues.</w:t>
      </w:r>
    </w:p>
    <w:p w14:paraId="211AD824" w14:textId="0B2D3814" w:rsidR="00B61C4F" w:rsidRDefault="00B61C4F" w:rsidP="00F80C05">
      <w:pPr>
        <w:pStyle w:val="Paragraphedeliste"/>
        <w:numPr>
          <w:ilvl w:val="0"/>
          <w:numId w:val="5"/>
        </w:numPr>
        <w:jc w:val="both"/>
      </w:pPr>
      <w:r>
        <w:t xml:space="preserve">À partir des </w:t>
      </w:r>
      <w:r w:rsidR="00E43240">
        <w:t>données</w:t>
      </w:r>
      <w:r>
        <w:t xml:space="preserve"> restantes, nous constatons que la plupart des pages chargées proviennent de districts scolaires dont les dépenses sont comprises entre 8 000 et 10 000.</w:t>
      </w:r>
    </w:p>
    <w:p w14:paraId="1DE29534" w14:textId="205F74CC" w:rsidR="00B61C4F" w:rsidRDefault="00B61C4F" w:rsidP="00F80C05">
      <w:pPr>
        <w:pStyle w:val="Paragraphedeliste"/>
        <w:numPr>
          <w:ilvl w:val="0"/>
          <w:numId w:val="5"/>
        </w:numPr>
        <w:jc w:val="both"/>
      </w:pPr>
      <w:r>
        <w:t xml:space="preserve">Nous </w:t>
      </w:r>
      <w:r w:rsidR="00E43240">
        <w:t>pouvons remarquer</w:t>
      </w:r>
      <w:r>
        <w:t xml:space="preserve"> également que les districts scolaires dont les dépenses sont comprises entre 10 000 et 18 000 ont plus de 200 millions de pages chargées en 2020.</w:t>
      </w:r>
    </w:p>
    <w:p w14:paraId="1882B83F" w14:textId="1798D04A" w:rsidR="00B61C4F" w:rsidRDefault="00B61C4F" w:rsidP="00F80C05">
      <w:pPr>
        <w:pStyle w:val="Paragraphedeliste"/>
        <w:numPr>
          <w:ilvl w:val="0"/>
          <w:numId w:val="5"/>
        </w:numPr>
        <w:jc w:val="both"/>
      </w:pPr>
      <w:r>
        <w:t xml:space="preserve">Les deux </w:t>
      </w:r>
      <w:r w:rsidR="00E43240">
        <w:t>résultats</w:t>
      </w:r>
      <w:r>
        <w:t xml:space="preserve"> les plus faibles sont celles des districts dont les dépenses sont comprises entre 4 000 et 6 000 et entre 32 000 et 34 000, soi</w:t>
      </w:r>
      <w:r w:rsidR="00F80C05">
        <w:t>en</w:t>
      </w:r>
      <w:r>
        <w:t>t les dépenses les plus faibles et les plus élevées de l'ensemble de données.</w:t>
      </w:r>
      <w:r w:rsidR="00F80C05">
        <w:t xml:space="preserve"> Cela signifie que le montant des dépenses n’est pas forcément lié à l’engagement des étudiants</w:t>
      </w:r>
    </w:p>
    <w:p w14:paraId="21E85F33" w14:textId="77777777" w:rsidR="00E65037" w:rsidRPr="00E65037" w:rsidRDefault="00E65037" w:rsidP="00E65037">
      <w:pPr>
        <w:jc w:val="both"/>
        <w:rPr>
          <w:rFonts w:cstheme="minorHAnsi"/>
        </w:rPr>
      </w:pPr>
    </w:p>
    <w:p w14:paraId="79A8CEE9" w14:textId="5FC84ABF" w:rsidR="00E65037" w:rsidRPr="00E65037" w:rsidRDefault="00E65037" w:rsidP="00E65037">
      <w:pPr>
        <w:jc w:val="both"/>
        <w:rPr>
          <w:rFonts w:cstheme="minorHAnsi"/>
        </w:rPr>
      </w:pPr>
      <w:r w:rsidRPr="00E65037">
        <w:rPr>
          <w:rFonts w:cstheme="minorHAnsi"/>
          <w:highlight w:val="yellow"/>
        </w:rPr>
        <w:t>****R****</w:t>
      </w:r>
    </w:p>
    <w:p w14:paraId="447F6761" w14:textId="36C3D001" w:rsidR="00B61C4F" w:rsidRDefault="00B61C4F" w:rsidP="00F80C05">
      <w:pPr>
        <w:jc w:val="both"/>
      </w:pPr>
    </w:p>
    <w:p w14:paraId="110F8E2F" w14:textId="5634F34D" w:rsidR="00F80C05" w:rsidRDefault="00F80C05" w:rsidP="00F80C05">
      <w:pPr>
        <w:jc w:val="both"/>
      </w:pPr>
      <w:r>
        <w:rPr>
          <w:noProof/>
          <w:lang w:eastAsia="fr-FR"/>
        </w:rPr>
        <w:drawing>
          <wp:inline distT="0" distB="0" distL="0" distR="0" wp14:anchorId="31E1FEA8" wp14:editId="45F33724">
            <wp:extent cx="5039360" cy="3390900"/>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23"/>
                    <a:stretch>
                      <a:fillRect/>
                    </a:stretch>
                  </pic:blipFill>
                  <pic:spPr>
                    <a:xfrm>
                      <a:off x="0" y="0"/>
                      <a:ext cx="5039360" cy="3390900"/>
                    </a:xfrm>
                    <a:prstGeom prst="rect">
                      <a:avLst/>
                    </a:prstGeom>
                  </pic:spPr>
                </pic:pic>
              </a:graphicData>
            </a:graphic>
          </wp:inline>
        </w:drawing>
      </w:r>
    </w:p>
    <w:p w14:paraId="5CE4BEEF" w14:textId="7BD85C9C" w:rsidR="00F80C05" w:rsidRDefault="00F80C05" w:rsidP="00F80C05">
      <w:pPr>
        <w:ind w:firstLine="708"/>
        <w:jc w:val="both"/>
      </w:pPr>
      <w:r>
        <w:t>Ce graphique montre le nombre de dist</w:t>
      </w:r>
      <w:r w:rsidR="00CC6991">
        <w:t>r</w:t>
      </w:r>
      <w:r>
        <w:t>ict</w:t>
      </w:r>
      <w:r w:rsidR="00CC6991">
        <w:t>s scolaires</w:t>
      </w:r>
      <w:r>
        <w:t xml:space="preserve"> </w:t>
      </w:r>
      <w:r w:rsidR="00CC6991">
        <w:t>par rapport au</w:t>
      </w:r>
      <w:r>
        <w:t xml:space="preserve"> montant des budgets alloués aux écoles provenant du projet National Education Resource Database on Schools (NERD$) du Edunomics Lab.</w:t>
      </w:r>
    </w:p>
    <w:p w14:paraId="4866A3B1" w14:textId="4E7DC831" w:rsidR="00F80C05" w:rsidRDefault="00F80C05" w:rsidP="00F80C05">
      <w:pPr>
        <w:jc w:val="both"/>
      </w:pPr>
      <w:r>
        <w:t>On observe que :</w:t>
      </w:r>
    </w:p>
    <w:p w14:paraId="66ADCBC1" w14:textId="38FDA645" w:rsidR="00B61C4F" w:rsidRDefault="00CC6991" w:rsidP="00F80C05">
      <w:pPr>
        <w:pStyle w:val="Paragraphedeliste"/>
        <w:numPr>
          <w:ilvl w:val="0"/>
          <w:numId w:val="5"/>
        </w:numPr>
        <w:jc w:val="both"/>
      </w:pPr>
      <w:r>
        <w:t xml:space="preserve">Ce graphique avec le nombre de districts scolaires dans une catégorie de budget semble être en accord avec le graphe concernant le nombre de </w:t>
      </w:r>
      <w:r w:rsidR="00B61C4F">
        <w:t>pages</w:t>
      </w:r>
      <w:r>
        <w:t xml:space="preserve"> chargées</w:t>
      </w:r>
      <w:r w:rsidR="00B61C4F">
        <w:t xml:space="preserve"> </w:t>
      </w:r>
      <w:r>
        <w:t>pour un même budget</w:t>
      </w:r>
      <w:r w:rsidR="002113E4">
        <w:t> ;</w:t>
      </w:r>
      <w:r w:rsidR="002113E4" w:rsidRPr="002113E4">
        <w:t xml:space="preserve"> </w:t>
      </w:r>
      <w:r w:rsidR="002113E4">
        <w:t>et préciser les observations qui en découlent</w:t>
      </w:r>
      <w:r w:rsidR="00B61C4F">
        <w:t>.</w:t>
      </w:r>
    </w:p>
    <w:p w14:paraId="346E8AF3" w14:textId="1ADF3A80" w:rsidR="00B61C4F" w:rsidRDefault="00CC6991" w:rsidP="00F80C05">
      <w:pPr>
        <w:pStyle w:val="Paragraphedeliste"/>
        <w:numPr>
          <w:ilvl w:val="0"/>
          <w:numId w:val="5"/>
        </w:numPr>
        <w:jc w:val="both"/>
      </w:pPr>
      <w:r>
        <w:t>Une fois encore, l</w:t>
      </w:r>
      <w:r w:rsidR="00B61C4F">
        <w:t>a catégorie a</w:t>
      </w:r>
      <w:r>
        <w:t>yant</w:t>
      </w:r>
      <w:r w:rsidR="00B61C4F">
        <w:t xml:space="preserve"> le plus grand nombre de districts scolaires</w:t>
      </w:r>
      <w:r>
        <w:t xml:space="preserve"> est celle regroupant les valeurs non renseignées</w:t>
      </w:r>
      <w:r w:rsidR="00B61C4F">
        <w:t>.</w:t>
      </w:r>
    </w:p>
    <w:p w14:paraId="0FD54BF8" w14:textId="6496E8AF" w:rsidR="00B61C4F" w:rsidRDefault="00B61C4F" w:rsidP="00F80C05">
      <w:pPr>
        <w:pStyle w:val="Paragraphedeliste"/>
        <w:numPr>
          <w:ilvl w:val="0"/>
          <w:numId w:val="5"/>
        </w:numPr>
        <w:jc w:val="both"/>
      </w:pPr>
      <w:r>
        <w:t>Il y a 30 districts scolaires dont les dépenses totales sont comprises entre 8 000 et 10 000, ce qui explique également le nombre de pages</w:t>
      </w:r>
      <w:r w:rsidR="002113E4">
        <w:t xml:space="preserve"> chargés</w:t>
      </w:r>
      <w:r>
        <w:t xml:space="preserve"> plus élevé</w:t>
      </w:r>
      <w:r w:rsidR="002113E4">
        <w:t xml:space="preserve"> dans le graphique précédent</w:t>
      </w:r>
      <w:r>
        <w:t>.</w:t>
      </w:r>
    </w:p>
    <w:p w14:paraId="1AA320D5" w14:textId="77777777" w:rsidR="00E65037" w:rsidRDefault="00E65037" w:rsidP="00E65037">
      <w:pPr>
        <w:jc w:val="both"/>
        <w:rPr>
          <w:rFonts w:cstheme="minorHAnsi"/>
          <w:highlight w:val="yellow"/>
        </w:rPr>
      </w:pPr>
    </w:p>
    <w:p w14:paraId="72FA850A" w14:textId="00A6D0C1" w:rsidR="00E65037" w:rsidRPr="00E65037" w:rsidRDefault="00E65037" w:rsidP="00E65037">
      <w:pPr>
        <w:jc w:val="both"/>
        <w:rPr>
          <w:rFonts w:cstheme="minorHAnsi"/>
        </w:rPr>
      </w:pPr>
      <w:r w:rsidRPr="00E65037">
        <w:rPr>
          <w:rFonts w:cstheme="minorHAnsi"/>
          <w:highlight w:val="yellow"/>
        </w:rPr>
        <w:t>****R****</w:t>
      </w:r>
    </w:p>
    <w:p w14:paraId="7B9B4210" w14:textId="77777777" w:rsidR="00E65037" w:rsidRDefault="00E65037" w:rsidP="00E65037">
      <w:pPr>
        <w:jc w:val="both"/>
      </w:pPr>
    </w:p>
    <w:p w14:paraId="59400DE3" w14:textId="2DAC37E3" w:rsidR="00B1293B" w:rsidRDefault="00B1293B" w:rsidP="00F80C05">
      <w:pPr>
        <w:pStyle w:val="Titre2"/>
        <w:jc w:val="both"/>
      </w:pPr>
      <w:bookmarkStart w:id="24" w:name="_Toc97582923"/>
      <w:r>
        <w:t>Engagement des élèves</w:t>
      </w:r>
      <w:r w:rsidR="00B61C4F">
        <w:t xml:space="preserve"> de foyers</w:t>
      </w:r>
      <w:r>
        <w:t xml:space="preserve"> modestes</w:t>
      </w:r>
      <w:bookmarkEnd w:id="24"/>
    </w:p>
    <w:p w14:paraId="1C84C7B7" w14:textId="77777777" w:rsidR="00B1293B" w:rsidRPr="00B1293B" w:rsidRDefault="00B1293B" w:rsidP="00F80C05">
      <w:pPr>
        <w:jc w:val="both"/>
      </w:pPr>
    </w:p>
    <w:p w14:paraId="214D5F5F" w14:textId="225DB73E" w:rsidR="00B1293B" w:rsidRDefault="00B1293B" w:rsidP="00F80C05">
      <w:pPr>
        <w:jc w:val="both"/>
        <w:rPr>
          <w:rFonts w:cstheme="minorHAnsi"/>
        </w:rPr>
      </w:pPr>
    </w:p>
    <w:p w14:paraId="3A63E2CC" w14:textId="77777777" w:rsidR="00B1293B" w:rsidRPr="003615A1" w:rsidRDefault="00B1293B" w:rsidP="00F80C05">
      <w:pPr>
        <w:jc w:val="both"/>
        <w:rPr>
          <w:rFonts w:cstheme="minorHAnsi"/>
        </w:rPr>
      </w:pPr>
    </w:p>
    <w:p w14:paraId="7AF89EE7" w14:textId="02093ECE" w:rsidR="00C0685D" w:rsidRPr="003615A1" w:rsidRDefault="00C0685D" w:rsidP="00F80C05">
      <w:pPr>
        <w:pStyle w:val="Titre1"/>
        <w:jc w:val="both"/>
        <w:rPr>
          <w:rFonts w:asciiTheme="minorHAnsi" w:hAnsiTheme="minorHAnsi" w:cstheme="minorHAnsi"/>
        </w:rPr>
      </w:pPr>
      <w:bookmarkStart w:id="25" w:name="_Toc97582924"/>
      <w:r w:rsidRPr="003615A1">
        <w:rPr>
          <w:rFonts w:asciiTheme="minorHAnsi" w:hAnsiTheme="minorHAnsi" w:cstheme="minorHAnsi"/>
        </w:rPr>
        <w:t>Conclusion</w:t>
      </w:r>
      <w:bookmarkEnd w:id="25"/>
    </w:p>
    <w:sectPr w:rsidR="00C0685D" w:rsidRPr="003615A1" w:rsidSect="00630060">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9B7EA" w14:textId="77777777" w:rsidR="00824D8B" w:rsidRDefault="00824D8B" w:rsidP="009441CA">
      <w:pPr>
        <w:spacing w:after="0" w:line="240" w:lineRule="auto"/>
      </w:pPr>
      <w:r>
        <w:separator/>
      </w:r>
    </w:p>
  </w:endnote>
  <w:endnote w:type="continuationSeparator" w:id="0">
    <w:p w14:paraId="53E32297" w14:textId="77777777" w:rsidR="00824D8B" w:rsidRDefault="00824D8B" w:rsidP="0094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2890654"/>
      <w:docPartObj>
        <w:docPartGallery w:val="Page Numbers (Bottom of Page)"/>
        <w:docPartUnique/>
      </w:docPartObj>
    </w:sdtPr>
    <w:sdtEndPr/>
    <w:sdtContent>
      <w:sdt>
        <w:sdtPr>
          <w:id w:val="-1769616900"/>
          <w:docPartObj>
            <w:docPartGallery w:val="Page Numbers (Top of Page)"/>
            <w:docPartUnique/>
          </w:docPartObj>
        </w:sdtPr>
        <w:sdtEndPr/>
        <w:sdtContent>
          <w:p w14:paraId="2E393EFD" w14:textId="5394EFD2" w:rsidR="009441CA" w:rsidRDefault="009441C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5541DD">
              <w:rPr>
                <w:b/>
                <w:bCs/>
                <w:noProof/>
              </w:rPr>
              <w:t>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541DD">
              <w:rPr>
                <w:b/>
                <w:bCs/>
                <w:noProof/>
              </w:rPr>
              <w:t>10</w:t>
            </w:r>
            <w:r>
              <w:rPr>
                <w:b/>
                <w:bCs/>
                <w:sz w:val="24"/>
                <w:szCs w:val="24"/>
              </w:rPr>
              <w:fldChar w:fldCharType="end"/>
            </w:r>
          </w:p>
        </w:sdtContent>
      </w:sdt>
    </w:sdtContent>
  </w:sdt>
  <w:p w14:paraId="5407BCC7" w14:textId="77777777" w:rsidR="009441CA" w:rsidRDefault="009441C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717B8" w14:textId="77777777" w:rsidR="00824D8B" w:rsidRDefault="00824D8B" w:rsidP="009441CA">
      <w:pPr>
        <w:spacing w:after="0" w:line="240" w:lineRule="auto"/>
      </w:pPr>
      <w:r>
        <w:separator/>
      </w:r>
    </w:p>
  </w:footnote>
  <w:footnote w:type="continuationSeparator" w:id="0">
    <w:p w14:paraId="68F14067" w14:textId="77777777" w:rsidR="00824D8B" w:rsidRDefault="00824D8B" w:rsidP="009441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0121B"/>
    <w:multiLevelType w:val="hybridMultilevel"/>
    <w:tmpl w:val="CE5049E8"/>
    <w:lvl w:ilvl="0" w:tplc="FF9219D8">
      <w:start w:val="202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E5334D9"/>
    <w:multiLevelType w:val="hybridMultilevel"/>
    <w:tmpl w:val="50D8F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453277"/>
    <w:multiLevelType w:val="hybridMultilevel"/>
    <w:tmpl w:val="644E7E36"/>
    <w:lvl w:ilvl="0" w:tplc="7EF4D9D6">
      <w:start w:val="202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6DBA43C8"/>
    <w:multiLevelType w:val="hybridMultilevel"/>
    <w:tmpl w:val="4230A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CD0146"/>
    <w:multiLevelType w:val="hybridMultilevel"/>
    <w:tmpl w:val="056688D0"/>
    <w:lvl w:ilvl="0" w:tplc="040C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C41"/>
    <w:rsid w:val="000440F0"/>
    <w:rsid w:val="00080C41"/>
    <w:rsid w:val="00090CC9"/>
    <w:rsid w:val="000B4D1B"/>
    <w:rsid w:val="000C1901"/>
    <w:rsid w:val="0011029C"/>
    <w:rsid w:val="00111C6F"/>
    <w:rsid w:val="001719BF"/>
    <w:rsid w:val="001722B3"/>
    <w:rsid w:val="001F07E3"/>
    <w:rsid w:val="002064A7"/>
    <w:rsid w:val="002113E4"/>
    <w:rsid w:val="002155A1"/>
    <w:rsid w:val="002451A0"/>
    <w:rsid w:val="00250F38"/>
    <w:rsid w:val="00294CA4"/>
    <w:rsid w:val="002A30AC"/>
    <w:rsid w:val="003615A1"/>
    <w:rsid w:val="004A735D"/>
    <w:rsid w:val="004D5DF0"/>
    <w:rsid w:val="00503BFA"/>
    <w:rsid w:val="00531AFC"/>
    <w:rsid w:val="005541DD"/>
    <w:rsid w:val="00630060"/>
    <w:rsid w:val="00675D07"/>
    <w:rsid w:val="00687038"/>
    <w:rsid w:val="00702AEA"/>
    <w:rsid w:val="00705FFB"/>
    <w:rsid w:val="007B1DF1"/>
    <w:rsid w:val="007C15C0"/>
    <w:rsid w:val="007C384E"/>
    <w:rsid w:val="00806900"/>
    <w:rsid w:val="00807875"/>
    <w:rsid w:val="00824D8B"/>
    <w:rsid w:val="00827EC8"/>
    <w:rsid w:val="00893C43"/>
    <w:rsid w:val="00894040"/>
    <w:rsid w:val="008A5C41"/>
    <w:rsid w:val="008B5D3F"/>
    <w:rsid w:val="009441CA"/>
    <w:rsid w:val="009935D0"/>
    <w:rsid w:val="009B6D35"/>
    <w:rsid w:val="00B1293B"/>
    <w:rsid w:val="00B61C4F"/>
    <w:rsid w:val="00BE21FC"/>
    <w:rsid w:val="00C0685D"/>
    <w:rsid w:val="00C377A4"/>
    <w:rsid w:val="00C87C78"/>
    <w:rsid w:val="00C93B19"/>
    <w:rsid w:val="00CA12FC"/>
    <w:rsid w:val="00CB5948"/>
    <w:rsid w:val="00CC6991"/>
    <w:rsid w:val="00D105F5"/>
    <w:rsid w:val="00D159E4"/>
    <w:rsid w:val="00D5369C"/>
    <w:rsid w:val="00D76158"/>
    <w:rsid w:val="00D932BC"/>
    <w:rsid w:val="00E43240"/>
    <w:rsid w:val="00E65037"/>
    <w:rsid w:val="00E71619"/>
    <w:rsid w:val="00E933D2"/>
    <w:rsid w:val="00EB652F"/>
    <w:rsid w:val="00F3200E"/>
    <w:rsid w:val="00F37962"/>
    <w:rsid w:val="00F562C6"/>
    <w:rsid w:val="00F62F1A"/>
    <w:rsid w:val="00F63173"/>
    <w:rsid w:val="00F80C05"/>
    <w:rsid w:val="00F87381"/>
    <w:rsid w:val="00FE10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7768"/>
  <w15:chartTrackingRefBased/>
  <w15:docId w15:val="{7C2AB575-0210-42B7-AE79-19CF812A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A5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7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5C4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B1DF1"/>
    <w:pPr>
      <w:ind w:left="720"/>
      <w:contextualSpacing/>
    </w:pPr>
  </w:style>
  <w:style w:type="paragraph" w:styleId="En-ttedetabledesmatires">
    <w:name w:val="TOC Heading"/>
    <w:basedOn w:val="Titre1"/>
    <w:next w:val="Normal"/>
    <w:uiPriority w:val="39"/>
    <w:unhideWhenUsed/>
    <w:qFormat/>
    <w:rsid w:val="00E933D2"/>
    <w:pPr>
      <w:outlineLvl w:val="9"/>
    </w:pPr>
    <w:rPr>
      <w:lang w:eastAsia="fr-FR"/>
    </w:rPr>
  </w:style>
  <w:style w:type="paragraph" w:styleId="TM1">
    <w:name w:val="toc 1"/>
    <w:basedOn w:val="Normal"/>
    <w:next w:val="Normal"/>
    <w:autoRedefine/>
    <w:uiPriority w:val="39"/>
    <w:unhideWhenUsed/>
    <w:rsid w:val="00E933D2"/>
    <w:pPr>
      <w:spacing w:after="100"/>
    </w:pPr>
  </w:style>
  <w:style w:type="character" w:styleId="Lienhypertexte">
    <w:name w:val="Hyperlink"/>
    <w:basedOn w:val="Policepardfaut"/>
    <w:uiPriority w:val="99"/>
    <w:unhideWhenUsed/>
    <w:rsid w:val="00E933D2"/>
    <w:rPr>
      <w:color w:val="0563C1" w:themeColor="hyperlink"/>
      <w:u w:val="single"/>
    </w:rPr>
  </w:style>
  <w:style w:type="character" w:customStyle="1" w:styleId="Titre2Car">
    <w:name w:val="Titre 2 Car"/>
    <w:basedOn w:val="Policepardfaut"/>
    <w:link w:val="Titre2"/>
    <w:uiPriority w:val="9"/>
    <w:rsid w:val="00827EC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361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CA12FC"/>
    <w:pPr>
      <w:spacing w:after="100"/>
      <w:ind w:left="220"/>
    </w:pPr>
  </w:style>
  <w:style w:type="paragraph" w:styleId="Sansinterligne">
    <w:name w:val="No Spacing"/>
    <w:link w:val="SansinterligneCar"/>
    <w:uiPriority w:val="1"/>
    <w:qFormat/>
    <w:rsid w:val="0063006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30060"/>
    <w:rPr>
      <w:rFonts w:eastAsiaTheme="minorEastAsia"/>
      <w:lang w:eastAsia="fr-FR"/>
    </w:rPr>
  </w:style>
  <w:style w:type="paragraph" w:styleId="En-tte">
    <w:name w:val="header"/>
    <w:basedOn w:val="Normal"/>
    <w:link w:val="En-tteCar"/>
    <w:uiPriority w:val="99"/>
    <w:unhideWhenUsed/>
    <w:rsid w:val="009441CA"/>
    <w:pPr>
      <w:tabs>
        <w:tab w:val="center" w:pos="4536"/>
        <w:tab w:val="right" w:pos="9072"/>
      </w:tabs>
      <w:spacing w:after="0" w:line="240" w:lineRule="auto"/>
    </w:pPr>
  </w:style>
  <w:style w:type="character" w:customStyle="1" w:styleId="En-tteCar">
    <w:name w:val="En-tête Car"/>
    <w:basedOn w:val="Policepardfaut"/>
    <w:link w:val="En-tte"/>
    <w:uiPriority w:val="99"/>
    <w:rsid w:val="009441CA"/>
  </w:style>
  <w:style w:type="paragraph" w:styleId="Pieddepage">
    <w:name w:val="footer"/>
    <w:basedOn w:val="Normal"/>
    <w:link w:val="PieddepageCar"/>
    <w:uiPriority w:val="99"/>
    <w:unhideWhenUsed/>
    <w:rsid w:val="009441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4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10.sv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Analyse des données réelles sur l’impact de la pandémie COVID-19 sur l’éducation aux USA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93169C-C1AC-4985-ADBB-2FB68FC42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11</Pages>
  <Words>2306</Words>
  <Characters>12685</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de la
pandémie COVID-19 sur l’Apprentissage aux USA</dc:title>
  <dc:subject>4BIGF – Big Data Fundamentals</dc:subject>
  <dc:creator>Guillaume Hulloux</dc:creator>
  <cp:keywords/>
  <dc:description/>
  <cp:lastModifiedBy>Compte Microsoft</cp:lastModifiedBy>
  <cp:revision>30</cp:revision>
  <dcterms:created xsi:type="dcterms:W3CDTF">2022-03-05T13:18:00Z</dcterms:created>
  <dcterms:modified xsi:type="dcterms:W3CDTF">2022-03-08T06:25:00Z</dcterms:modified>
</cp:coreProperties>
</file>