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i w:val="0"/>
          <w:color w:val="0FBD3B"/>
          <w:sz w:val="28"/>
        </w:rPr>
        <w:t>STACKEDU</w:t>
      </w:r>
    </w:p>
    <w:p>
      <w:r>
        <w:rPr>
          <w:rFonts w:ascii="Calibri" w:hAnsi="Calibri" w:eastAsia="Calibri"/>
          <w:b/>
          <w:i w:val="0"/>
          <w:color w:val="05131D"/>
          <w:sz w:val="52"/>
        </w:rPr>
        <w:t>Personal Data Inventory, Processing Map</w:t>
        <w:br/>
        <w:t>and Architecture Report</w:t>
      </w:r>
    </w:p>
    <w:p>
      <w:pPr>
        <w:spacing w:after="160" w:before="0" w:line="276" w:lineRule="auto"/>
      </w:pPr>
      <w:r>
        <w:rPr>
          <w:rFonts w:ascii="Calibri" w:hAnsi="Calibri" w:eastAsia="Calibri"/>
          <w:b w:val="0"/>
          <w:i w:val="0"/>
          <w:color w:val="05131D"/>
          <w:sz w:val="24"/>
        </w:rPr>
        <w:t>Prepared for legal partners to support Data Controller and Data Processor registration with the National Cyber Security Authority (NCSA) — Data Protection &amp; Privacy Office, under Law No. 058/2021 of 13/10/2021 relating to the protection of personal data and privacy.</w:t>
      </w:r>
    </w:p>
    <w:tbl>
      <w:tblPr>
        <w:tblW w:type="auto" w:w="0"/>
        <w:jc w:val="center"/>
        <w:tblLayout w:type="autofit"/>
        <w:tblLook w:firstColumn="1" w:firstRow="1" w:lastColumn="0" w:lastRow="0" w:noHBand="0" w:noVBand="1" w:val="04A0"/>
      </w:tblPr>
      <w:tblGrid>
        <w:gridCol w:w="4706"/>
        <w:gridCol w:w="4706"/>
      </w:tblGrid>
      <w:tr>
        <w:tc>
          <w:tcPr>
            <w:tcW w:type="dxa" w:w="311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Item</w:t>
            </w:r>
          </w:p>
        </w:tc>
        <w:tc>
          <w:tcPr>
            <w:tcW w:type="dxa" w:w="652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Detail</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Document type</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Internal legal briefing (not a filed form)</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Product</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StackEDU — Educational Management System for Rwandan tertiary institutions</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Operator / builder</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StackForgeAI (to be confirmed on the certificate application)</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Law</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Law No. 058/2021 of 13/10/2021 (DPP Law)</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Supervisory authority</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National Cyber Security Authority — Data Protection &amp; Privacy Office</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Source of this report</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Live StackEDU codebase, database schemas, apply form, hosting setup, and official DPP Law pages on dpo.gov.rw</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Date</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26 August 2026</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Classification</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Confidential — for counsel and authorised officers only</w:t>
            </w:r>
          </w:p>
        </w:tc>
      </w:tr>
    </w:tbl>
    <w:p/>
    <w:p>
      <w:pPr>
        <w:spacing w:after="160" w:before="0" w:line="276" w:lineRule="auto"/>
      </w:pPr>
      <w:r>
        <w:rPr>
          <w:rFonts w:ascii="Calibri" w:hAnsi="Calibri" w:eastAsia="Calibri"/>
          <w:b w:val="0"/>
          <w:i/>
          <w:color w:val="05131D"/>
          <w:sz w:val="20"/>
        </w:rPr>
        <w:t>Fields marked “to be confirmed by legal” are company particulars (RDB number, physical address, Data Protection Officer name). This report does not invent those facts. Everything about data types, purposes, systems and hosting is taken from the product as it exists today.</w:t>
      </w:r>
    </w:p>
    <w:p>
      <w:pPr>
        <w:pStyle w:val="Heading1"/>
        <w:spacing w:before="320" w:after="120"/>
      </w:pPr>
      <w:r>
        <w:rPr>
          <w:rFonts w:ascii="Calibri" w:hAnsi="Calibri"/>
          <w:color w:val="05131D"/>
        </w:rPr>
        <w:t>1. Purpose of this report</w:t>
      </w:r>
    </w:p>
    <w:p>
      <w:pPr>
        <w:spacing w:after="160" w:before="0" w:line="276" w:lineRule="auto"/>
      </w:pPr>
      <w:r>
        <w:rPr>
          <w:rFonts w:ascii="Calibri" w:hAnsi="Calibri" w:eastAsia="Calibri"/>
          <w:b w:val="0"/>
          <w:i w:val="0"/>
          <w:color w:val="05131D"/>
          <w:sz w:val="22"/>
        </w:rPr>
        <w:t>This document explains, in simple English, what personal data StackEDU collects, why it is collected, where it is stored, who can see it, and how that maps to Rwanda’s DPP Law and to the two NCSA registration forms:</w:t>
      </w:r>
    </w:p>
    <w:p>
      <w:pPr>
        <w:pStyle w:val="ListBullet"/>
        <w:spacing w:after="60" w:line="269" w:lineRule="auto"/>
      </w:pPr>
      <w:r>
        <w:rPr>
          <w:rFonts w:ascii="Calibri" w:hAnsi="Calibri" w:eastAsia="Calibri"/>
          <w:b w:val="0"/>
          <w:i w:val="0"/>
          <w:color w:val="05131D"/>
          <w:sz w:val="22"/>
        </w:rPr>
        <w:t>Application Form — Registration as a Data Controller</w:t>
      </w:r>
    </w:p>
    <w:p>
      <w:pPr>
        <w:pStyle w:val="ListBullet"/>
        <w:spacing w:after="60" w:line="269" w:lineRule="auto"/>
      </w:pPr>
      <w:r>
        <w:rPr>
          <w:rFonts w:ascii="Calibri" w:hAnsi="Calibri" w:eastAsia="Calibri"/>
          <w:b w:val="0"/>
          <w:i w:val="0"/>
          <w:color w:val="05131D"/>
          <w:sz w:val="22"/>
        </w:rPr>
        <w:t>Application Form — Registration as a Data Processor</w:t>
      </w:r>
    </w:p>
    <w:p>
      <w:pPr>
        <w:spacing w:after="160" w:before="0" w:line="276" w:lineRule="auto"/>
      </w:pPr>
      <w:r>
        <w:rPr>
          <w:rFonts w:ascii="Calibri" w:hAnsi="Calibri" w:eastAsia="Calibri"/>
          <w:b w:val="0"/>
          <w:i w:val="0"/>
          <w:color w:val="05131D"/>
          <w:sz w:val="22"/>
        </w:rPr>
        <w:t>It is written so that legal counsel can complete the forms accurately, advise on whether StackForgeAI must register as a controller, a processor, or both, and flag items that need a separate authorisation (especially storage or transfer of personal data outside Rwanda).</w:t>
      </w:r>
    </w:p>
    <w:p>
      <w:pPr>
        <w:pStyle w:val="Heading1"/>
        <w:spacing w:before="320" w:after="120"/>
      </w:pPr>
      <w:r>
        <w:rPr>
          <w:rFonts w:ascii="Calibri" w:hAnsi="Calibri"/>
          <w:color w:val="05131D"/>
        </w:rPr>
        <w:t>2. The law in plain English</w:t>
      </w:r>
    </w:p>
    <w:p>
      <w:pPr>
        <w:spacing w:after="160" w:before="0" w:line="276" w:lineRule="auto"/>
      </w:pPr>
      <w:r>
        <w:rPr>
          <w:rFonts w:ascii="Calibri" w:hAnsi="Calibri" w:eastAsia="Calibri"/>
          <w:b w:val="0"/>
          <w:i w:val="0"/>
          <w:color w:val="05131D"/>
          <w:sz w:val="22"/>
        </w:rPr>
        <w:t>Rwanda’s DPP Law protects information about a living person. If we can tell who someone is from a name, an ID number, an email, a phone number, a student number, a photo, or several facts put together, that information is personal data.</w:t>
      </w:r>
    </w:p>
    <w:p>
      <w:pPr>
        <w:spacing w:after="160" w:before="0" w:line="276" w:lineRule="auto"/>
      </w:pPr>
      <w:r>
        <w:rPr>
          <w:rFonts w:ascii="Calibri" w:hAnsi="Calibri" w:eastAsia="Calibri"/>
          <w:b w:val="0"/>
          <w:i w:val="0"/>
          <w:color w:val="05131D"/>
          <w:sz w:val="22"/>
        </w:rPr>
        <w:t>The law uses four everyday roles:</w:t>
      </w:r>
    </w:p>
    <w:tbl>
      <w:tblPr>
        <w:tblW w:type="auto" w:w="0"/>
        <w:jc w:val="center"/>
        <w:tblLayout w:type="autofit"/>
        <w:tblLook w:firstColumn="1" w:firstRow="1" w:lastColumn="0" w:lastRow="0" w:noHBand="0" w:noVBand="1" w:val="04A0"/>
      </w:tblPr>
      <w:tblGrid>
        <w:gridCol w:w="4706"/>
        <w:gridCol w:w="4706"/>
      </w:tblGrid>
      <w:tr>
        <w:tc>
          <w:tcPr>
            <w:tcW w:type="dxa" w:w="238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Role</w:t>
            </w:r>
          </w:p>
        </w:tc>
        <w:tc>
          <w:tcPr>
            <w:tcW w:type="dxa" w:w="7257"/>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Meaning for StackEDU</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Data subject</w:t>
            </w:r>
          </w:p>
        </w:tc>
        <w:tc>
          <w:tcPr>
            <w:tcW w:type="dxa" w:w="7257"/>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The person the data is about: an applicant, student, parent/guardian, lecturer, bursar, ICT manager, librarian, academic admin, or StackForgeAI staff.</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Data controller</w:t>
            </w:r>
          </w:p>
        </w:tc>
        <w:tc>
          <w:tcPr>
            <w:tcW w:type="dxa" w:w="7257"/>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The organisation that decides why the data is used and how. For a university using StackEDU, that university is usually the controller of its students’ records.</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Data processor</w:t>
            </w:r>
          </w:p>
        </w:tc>
        <w:tc>
          <w:tcPr>
            <w:tcW w:type="dxa" w:w="7257"/>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The organisation that handles the data on the controller’s instructions. When StackEDU hosts a university’s system, StackForgeAI is typically the processor.</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Supervisory authority</w:t>
            </w:r>
          </w:p>
        </w:tc>
        <w:tc>
          <w:tcPr>
            <w:tcW w:type="dxa" w:w="7257"/>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NCSA’s Data Protection &amp; Privacy Office. It issues registration certificates, can inspect safeguards, and must be told of serious breaches.</w:t>
            </w:r>
          </w:p>
        </w:tc>
      </w:tr>
    </w:tbl>
    <w:p/>
    <w:p>
      <w:pPr>
        <w:spacing w:after="160" w:before="0" w:line="276" w:lineRule="auto"/>
      </w:pPr>
      <w:r>
        <w:rPr>
          <w:rFonts w:ascii="Calibri" w:hAnsi="Calibri" w:eastAsia="Calibri"/>
          <w:b w:val="0"/>
          <w:i w:val="0"/>
          <w:color w:val="05131D"/>
          <w:sz w:val="22"/>
        </w:rPr>
        <w:t>The law requires, among other things:</w:t>
      </w:r>
    </w:p>
    <w:p>
      <w:pPr>
        <w:pStyle w:val="ListNumber"/>
        <w:spacing w:after="60" w:line="269" w:lineRule="auto"/>
      </w:pPr>
      <w:r>
        <w:rPr>
          <w:rFonts w:ascii="Calibri" w:hAnsi="Calibri" w:eastAsia="Calibri"/>
          <w:b w:val="0"/>
          <w:i w:val="0"/>
          <w:color w:val="05131D"/>
          <w:sz w:val="22"/>
        </w:rPr>
        <w:t>Registration before operating as a controller or processor (Articles 29–36). Operating without a certificate is an administrative misconduct (Article 53).</w:t>
      </w:r>
    </w:p>
    <w:p>
      <w:pPr>
        <w:pStyle w:val="ListNumber"/>
        <w:spacing w:after="60" w:line="269" w:lineRule="auto"/>
      </w:pPr>
      <w:r>
        <w:rPr>
          <w:rFonts w:ascii="Calibri" w:hAnsi="Calibri" w:eastAsia="Calibri"/>
          <w:b w:val="0"/>
          <w:i w:val="0"/>
          <w:color w:val="05131D"/>
          <w:sz w:val="22"/>
        </w:rPr>
        <w:t>A written contract between a controller and a processor (Article 4).</w:t>
      </w:r>
    </w:p>
    <w:p>
      <w:pPr>
        <w:pStyle w:val="ListNumber"/>
        <w:spacing w:after="60" w:line="269" w:lineRule="auto"/>
      </w:pPr>
      <w:r>
        <w:rPr>
          <w:rFonts w:ascii="Calibri" w:hAnsi="Calibri" w:eastAsia="Calibri"/>
          <w:b w:val="0"/>
          <w:i w:val="0"/>
          <w:color w:val="05131D"/>
          <w:sz w:val="22"/>
        </w:rPr>
        <w:t>A lawful reason for every use of personal data (Article 46) and extra care for sensitive data (Articles 10–11).</w:t>
      </w:r>
    </w:p>
    <w:p>
      <w:pPr>
        <w:pStyle w:val="ListNumber"/>
        <w:spacing w:after="60" w:line="269" w:lineRule="auto"/>
      </w:pPr>
      <w:r>
        <w:rPr>
          <w:rFonts w:ascii="Calibri" w:hAnsi="Calibri" w:eastAsia="Calibri"/>
          <w:b w:val="0"/>
          <w:i w:val="0"/>
          <w:color w:val="05131D"/>
          <w:sz w:val="22"/>
        </w:rPr>
        <w:t>Clear information to the person when data is collected (Article 42).</w:t>
      </w:r>
    </w:p>
    <w:p>
      <w:pPr>
        <w:pStyle w:val="ListNumber"/>
        <w:spacing w:after="60" w:line="269" w:lineRule="auto"/>
      </w:pPr>
      <w:r>
        <w:rPr>
          <w:rFonts w:ascii="Calibri" w:hAnsi="Calibri" w:eastAsia="Calibri"/>
          <w:b w:val="0"/>
          <w:i w:val="0"/>
          <w:color w:val="05131D"/>
          <w:sz w:val="22"/>
        </w:rPr>
        <w:t>Keeping processing records and logs (Articles 16–17).</w:t>
      </w:r>
    </w:p>
    <w:p>
      <w:pPr>
        <w:pStyle w:val="ListNumber"/>
        <w:spacing w:after="60" w:line="269" w:lineRule="auto"/>
      </w:pPr>
      <w:r>
        <w:rPr>
          <w:rFonts w:ascii="Calibri" w:hAnsi="Calibri" w:eastAsia="Calibri"/>
          <w:b w:val="0"/>
          <w:i w:val="0"/>
          <w:color w:val="05131D"/>
          <w:sz w:val="22"/>
        </w:rPr>
        <w:t>Storing personal data in Rwanda unless NCSA has authorised storage abroad (Article 50).</w:t>
      </w:r>
    </w:p>
    <w:p>
      <w:pPr>
        <w:pStyle w:val="ListNumber"/>
        <w:spacing w:after="60" w:line="269" w:lineRule="auto"/>
      </w:pPr>
      <w:r>
        <w:rPr>
          <w:rFonts w:ascii="Calibri" w:hAnsi="Calibri" w:eastAsia="Calibri"/>
          <w:b w:val="0"/>
          <w:i w:val="0"/>
          <w:color w:val="05131D"/>
          <w:sz w:val="22"/>
        </w:rPr>
        <w:t>Authorisation or another legal ground before sending personal data outside Rwanda (Articles 48–49).</w:t>
      </w:r>
    </w:p>
    <w:p>
      <w:pPr>
        <w:pStyle w:val="ListNumber"/>
        <w:spacing w:after="60" w:line="269" w:lineRule="auto"/>
      </w:pPr>
      <w:r>
        <w:rPr>
          <w:rFonts w:ascii="Calibri" w:hAnsi="Calibri" w:eastAsia="Calibri"/>
          <w:b w:val="0"/>
          <w:i w:val="0"/>
          <w:color w:val="05131D"/>
          <w:sz w:val="22"/>
        </w:rPr>
        <w:t>Telling NCSA of a personal data breach within 48 hours of becoming aware, and filing a written report within 72 hours (Articles 43–44).</w:t>
      </w:r>
    </w:p>
    <w:p>
      <w:pPr>
        <w:pStyle w:val="ListNumber"/>
        <w:spacing w:after="60" w:line="269" w:lineRule="auto"/>
      </w:pPr>
      <w:r>
        <w:rPr>
          <w:rFonts w:ascii="Calibri" w:hAnsi="Calibri" w:eastAsia="Calibri"/>
          <w:b w:val="0"/>
          <w:i w:val="0"/>
          <w:color w:val="05131D"/>
          <w:sz w:val="22"/>
        </w:rPr>
        <w:t>Designating a Data Protection Officer in the cases listed in Article 40, publishing their contact details, and giving those details to NCSA.</w:t>
      </w:r>
    </w:p>
    <w:p>
      <w:pPr>
        <w:spacing w:after="160" w:before="0" w:line="276" w:lineRule="auto"/>
      </w:pPr>
      <w:r>
        <w:rPr>
          <w:rFonts w:ascii="Calibri" w:hAnsi="Calibri" w:eastAsia="Calibri"/>
          <w:b w:val="0"/>
          <w:i/>
          <w:color w:val="05131D"/>
          <w:sz w:val="20"/>
        </w:rPr>
        <w:t>Official pages used for this briefing: general provisions; processing and quality; rights of the data subject; tasks and powers of the supervisory authority; registration; obligations of the controller and processor; sharing, transfer, storage and retention; misconducts, offences and sanctions; miscellaneous and transitional provisions — all at dpo.gov.rw/dpp-law.</w:t>
      </w:r>
    </w:p>
    <w:p>
      <w:pPr>
        <w:pStyle w:val="Heading1"/>
        <w:spacing w:before="320" w:after="120"/>
      </w:pPr>
      <w:r>
        <w:rPr>
          <w:rFonts w:ascii="Calibri" w:hAnsi="Calibri"/>
          <w:color w:val="05131D"/>
        </w:rPr>
        <w:t>3. Recommended registration position</w:t>
      </w:r>
    </w:p>
    <w:p>
      <w:pPr>
        <w:spacing w:after="160" w:before="0" w:line="276" w:lineRule="auto"/>
      </w:pPr>
      <w:r>
        <w:rPr>
          <w:rFonts w:ascii="Calibri" w:hAnsi="Calibri" w:eastAsia="Calibri"/>
          <w:b w:val="0"/>
          <w:i w:val="0"/>
          <w:color w:val="05131D"/>
          <w:sz w:val="22"/>
        </w:rPr>
        <w:t>StackEDU is a software platform used by educational institutions. In practice, StackForgeAI wears two hats. Legal should confirm the final filing strategy, but the product design supports this split:</w:t>
      </w:r>
    </w:p>
    <w:p>
      <w:pPr>
        <w:pStyle w:val="Heading2"/>
        <w:spacing w:before="240" w:after="120"/>
      </w:pPr>
      <w:r>
        <w:rPr>
          <w:rFonts w:ascii="Calibri" w:hAnsi="Calibri"/>
          <w:color w:val="05131D"/>
        </w:rPr>
        <w:t>3.1 Register as a Data Processor (primary hat)</w:t>
      </w:r>
    </w:p>
    <w:p>
      <w:pPr>
        <w:spacing w:after="160" w:before="0" w:line="276" w:lineRule="auto"/>
      </w:pPr>
      <w:r>
        <w:rPr>
          <w:rFonts w:ascii="Calibri" w:hAnsi="Calibri" w:eastAsia="Calibri"/>
          <w:b w:val="0"/>
          <w:i w:val="0"/>
          <w:color w:val="05131D"/>
          <w:sz w:val="22"/>
        </w:rPr>
        <w:t>When a Rwandan university (or college) uses StackEDU, that institution decides to admit students, keep academic records, collect fees, and assign staff. StackForgeAI provides the software, databases and file storage, and processes personal data on the institution’s behalf. That is Data Processor work under Article 3 (23°) and Article 4.</w:t>
      </w:r>
    </w:p>
    <w:p>
      <w:pPr>
        <w:spacing w:after="160" w:before="0" w:line="276" w:lineRule="auto"/>
      </w:pPr>
      <w:r>
        <w:rPr>
          <w:rFonts w:ascii="Calibri" w:hAnsi="Calibri" w:eastAsia="Calibri"/>
          <w:b w:val="0"/>
          <w:i w:val="0"/>
          <w:color w:val="05131D"/>
          <w:sz w:val="22"/>
        </w:rPr>
        <w:t>On the Processor form, Section 4 (Processing authorisations) should list each client institution as a Data Controller, with a written data-processing contract (yes).</w:t>
      </w:r>
    </w:p>
    <w:p>
      <w:pPr>
        <w:pStyle w:val="Heading2"/>
        <w:spacing w:before="240" w:after="120"/>
      </w:pPr>
      <w:r>
        <w:rPr>
          <w:rFonts w:ascii="Calibri" w:hAnsi="Calibri"/>
          <w:color w:val="05131D"/>
        </w:rPr>
        <w:t>3.2 Register as a Data Controller (second hat)</w:t>
      </w:r>
    </w:p>
    <w:p>
      <w:pPr>
        <w:spacing w:after="160" w:before="0" w:line="276" w:lineRule="auto"/>
      </w:pPr>
      <w:r>
        <w:rPr>
          <w:rFonts w:ascii="Calibri" w:hAnsi="Calibri" w:eastAsia="Calibri"/>
          <w:b w:val="0"/>
          <w:i w:val="0"/>
          <w:color w:val="05131D"/>
          <w:sz w:val="22"/>
        </w:rPr>
        <w:t>StackForgeAI also decides, on its own, how to run the platform. For those uses, it is a Data Controller. Examples:</w:t>
      </w:r>
    </w:p>
    <w:p>
      <w:pPr>
        <w:pStyle w:val="ListBullet"/>
        <w:spacing w:after="60" w:line="269" w:lineRule="auto"/>
      </w:pPr>
      <w:r>
        <w:rPr>
          <w:rFonts w:ascii="Calibri" w:hAnsi="Calibri" w:eastAsia="Calibri"/>
          <w:b w:val="0"/>
          <w:i w:val="0"/>
          <w:color w:val="05131D"/>
          <w:sz w:val="22"/>
        </w:rPr>
        <w:t>The shared login directory that routes an email address to the right institution so a person can sign in.</w:t>
      </w:r>
    </w:p>
    <w:p>
      <w:pPr>
        <w:pStyle w:val="ListBullet"/>
        <w:spacing w:after="60" w:line="269" w:lineRule="auto"/>
      </w:pPr>
      <w:r>
        <w:rPr>
          <w:rFonts w:ascii="Calibri" w:hAnsi="Calibri" w:eastAsia="Calibri"/>
          <w:b w:val="0"/>
          <w:i w:val="0"/>
          <w:color w:val="05131D"/>
          <w:sz w:val="22"/>
        </w:rPr>
        <w:t>Platform administrator accounts (StackForgeAI staff who provision institutions).</w:t>
      </w:r>
    </w:p>
    <w:p>
      <w:pPr>
        <w:pStyle w:val="ListBullet"/>
        <w:spacing w:after="60" w:line="269" w:lineRule="auto"/>
      </w:pPr>
      <w:r>
        <w:rPr>
          <w:rFonts w:ascii="Calibri" w:hAnsi="Calibri" w:eastAsia="Calibri"/>
          <w:b w:val="0"/>
          <w:i w:val="0"/>
          <w:color w:val="05131D"/>
          <w:sz w:val="22"/>
        </w:rPr>
        <w:t>Billing records for the institution (how many active students, invoice amounts) — these are about the school as a customer, but may include counts derived from student records.</w:t>
      </w:r>
    </w:p>
    <w:p>
      <w:pPr>
        <w:pStyle w:val="ListBullet"/>
        <w:spacing w:after="60" w:line="269" w:lineRule="auto"/>
      </w:pPr>
      <w:r>
        <w:rPr>
          <w:rFonts w:ascii="Calibri" w:hAnsi="Calibri" w:eastAsia="Calibri"/>
          <w:b w:val="0"/>
          <w:i w:val="0"/>
          <w:color w:val="05131D"/>
          <w:sz w:val="22"/>
        </w:rPr>
        <w:t>The public marketing website (stackedu.rw / stackedu.africa) and any contact or newsletter data collected there.</w:t>
      </w:r>
    </w:p>
    <w:p>
      <w:pPr>
        <w:pStyle w:val="ListBullet"/>
        <w:spacing w:after="60" w:line="269" w:lineRule="auto"/>
      </w:pPr>
      <w:r>
        <w:rPr>
          <w:rFonts w:ascii="Calibri" w:hAnsi="Calibri" w:eastAsia="Calibri"/>
          <w:b w:val="0"/>
          <w:i w:val="0"/>
          <w:color w:val="05131D"/>
          <w:sz w:val="22"/>
        </w:rPr>
        <w:t>Security logs of failed and successful sign-ins (email tried, IP address, browser).</w:t>
      </w:r>
    </w:p>
    <w:p>
      <w:pPr>
        <w:pStyle w:val="ListBullet"/>
        <w:spacing w:after="60" w:line="269" w:lineRule="auto"/>
      </w:pPr>
      <w:r>
        <w:rPr>
          <w:rFonts w:ascii="Calibri" w:hAnsi="Calibri" w:eastAsia="Calibri"/>
          <w:b w:val="0"/>
          <w:i w:val="0"/>
          <w:color w:val="05131D"/>
          <w:sz w:val="22"/>
        </w:rPr>
        <w:t>Any demo or sandbox institution that StackForgeAI itself operates (for example the seed “StackForgeAI University” environment).</w:t>
      </w:r>
    </w:p>
    <w:p>
      <w:pPr>
        <w:spacing w:after="160" w:before="0" w:line="276" w:lineRule="auto"/>
      </w:pPr>
      <w:r>
        <w:rPr>
          <w:rFonts w:ascii="Calibri" w:hAnsi="Calibri" w:eastAsia="Calibri"/>
          <w:b w:val="0"/>
          <w:i w:val="0"/>
          <w:color w:val="05131D"/>
          <w:sz w:val="22"/>
        </w:rPr>
        <w:t>If StackForgeAI is established in Rwanda, the “Representative in Rwanda” block on the forms is not required. If the legal entity is established outside Rwanda but processes data of people in Rwanda, Article 39 requires a written representative in Rwanda. Legal must confirm the place of establishment.</w:t>
      </w:r>
    </w:p>
    <w:p>
      <w:pPr>
        <w:spacing w:before="120" w:after="40"/>
      </w:pPr>
      <w:r>
        <w:rPr>
          <w:rFonts w:ascii="Calibri" w:hAnsi="Calibri" w:eastAsia="Calibri"/>
          <w:b/>
          <w:i w:val="0"/>
          <w:color w:val="B45309"/>
          <w:sz w:val="22"/>
        </w:rPr>
        <w:t>Practical filing note</w:t>
      </w:r>
    </w:p>
    <w:p>
      <w:pPr>
        <w:spacing w:after="160" w:before="0" w:line="276" w:lineRule="auto"/>
      </w:pPr>
      <w:r>
        <w:rPr>
          <w:rFonts w:ascii="Calibri" w:hAnsi="Calibri" w:eastAsia="Calibri"/>
          <w:b w:val="0"/>
          <w:i w:val="0"/>
          <w:color w:val="05131D"/>
          <w:sz w:val="22"/>
        </w:rPr>
        <w:t>NCSA expects a person who is both controller and processor to register in both capacities. Counsel should not file only one form unless they have a written reason (for example, all processing is solely as processor and platform routing is treated as processing on the institution’s instructions).</w:t>
      </w:r>
    </w:p>
    <w:p>
      <w:pPr>
        <w:pStyle w:val="Heading1"/>
        <w:spacing w:before="320" w:after="120"/>
      </w:pPr>
      <w:r>
        <w:rPr>
          <w:rFonts w:ascii="Calibri" w:hAnsi="Calibri"/>
          <w:color w:val="05131D"/>
        </w:rPr>
        <w:t>4. How to complete the two NCSA forms</w:t>
      </w:r>
    </w:p>
    <w:p>
      <w:pPr>
        <w:spacing w:after="160" w:before="0" w:line="276" w:lineRule="auto"/>
      </w:pPr>
      <w:r>
        <w:rPr>
          <w:rFonts w:ascii="Calibri" w:hAnsi="Calibri" w:eastAsia="Calibri"/>
          <w:b w:val="0"/>
          <w:i w:val="0"/>
          <w:color w:val="05131D"/>
          <w:sz w:val="22"/>
        </w:rPr>
        <w:t>The attached Controller and Processor forms follow the same structure. Below is suggested content for each section, based on the live product. Replace square brackets with company facts.</w:t>
      </w:r>
    </w:p>
    <w:p>
      <w:pPr>
        <w:pStyle w:val="Heading2"/>
        <w:spacing w:before="240" w:after="120"/>
      </w:pPr>
      <w:r>
        <w:rPr>
          <w:rFonts w:ascii="Calibri" w:hAnsi="Calibri"/>
          <w:color w:val="05131D"/>
        </w:rPr>
        <w:t>4.1 Section 1 — Applicant details</w:t>
      </w:r>
    </w:p>
    <w:tbl>
      <w:tblPr>
        <w:tblW w:type="auto" w:w="0"/>
        <w:jc w:val="center"/>
        <w:tblLayout w:type="autofit"/>
        <w:tblLook w:firstColumn="1" w:firstRow="1" w:lastColumn="0" w:lastRow="0" w:noHBand="0" w:noVBand="1" w:val="04A0"/>
      </w:tblPr>
      <w:tblGrid>
        <w:gridCol w:w="4706"/>
        <w:gridCol w:w="4706"/>
      </w:tblGrid>
      <w:tr>
        <w:tc>
          <w:tcPr>
            <w:tcW w:type="dxa" w:w="2835"/>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Form field</w:t>
            </w:r>
          </w:p>
        </w:tc>
        <w:tc>
          <w:tcPr>
            <w:tcW w:type="dxa" w:w="6803"/>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Suggested value / guidance</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Entity name</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[Legal name of StackForgeAI company — to be confirmed]</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Registration number</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[RDB company number — to be confirmed]</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License number</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Leave blank unless a sector licence applies.</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Law / Presidential order</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Leave blank unless a specific public-law mandate applies.</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Nature of entity</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Private (unless counsel advises otherwise).</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Entity sector (Annex I)</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Education and Digital services. StackEDU is an education management platform delivered as software.</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Entity address</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[Country, Province, District, Sector — to be confirmed]</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Phone / email / website</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[Company phone]; [privacy or legal email]; https://stackedu.rw</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Data Protection Officer</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Article 40 applies to a corporate body. Name, phone and email of the designated officer must be published and given to NCSA. [To be appointed / confirmed].</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Representative in Rwanda</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Fill only if the applicant is not established in Rwanda (Article 39).</w:t>
            </w:r>
          </w:p>
        </w:tc>
      </w:tr>
    </w:tbl>
    <w:p/>
    <w:p>
      <w:pPr>
        <w:pStyle w:val="Heading2"/>
        <w:spacing w:before="240" w:after="120"/>
      </w:pPr>
      <w:r>
        <w:rPr>
          <w:rFonts w:ascii="Calibri" w:hAnsi="Calibri"/>
          <w:color w:val="05131D"/>
        </w:rPr>
        <w:t>4.2 Section 2 — Personal data (the heart of the form)</w:t>
      </w:r>
    </w:p>
    <w:p>
      <w:pPr>
        <w:spacing w:after="160" w:before="0" w:line="276" w:lineRule="auto"/>
      </w:pPr>
      <w:r>
        <w:rPr>
          <w:rFonts w:ascii="Calibri" w:hAnsi="Calibri" w:eastAsia="Calibri"/>
          <w:b w:val="0"/>
          <w:i w:val="0"/>
          <w:color w:val="05131D"/>
          <w:sz w:val="22"/>
        </w:rPr>
        <w:t>Copy the tables in Sections 6 and 7 of this report into Section 2 of the form. Each row is: category of people → description of data → purpose → who else receives it → lawful ground (tick boxes from Article 46).</w:t>
      </w:r>
    </w:p>
    <w:p>
      <w:pPr>
        <w:pStyle w:val="Heading2"/>
        <w:spacing w:before="240" w:after="120"/>
      </w:pPr>
      <w:r>
        <w:rPr>
          <w:rFonts w:ascii="Calibri" w:hAnsi="Calibri"/>
          <w:color w:val="05131D"/>
        </w:rPr>
        <w:t>4.3 Section 3 — Sensitive personal data</w:t>
      </w:r>
    </w:p>
    <w:p>
      <w:pPr>
        <w:spacing w:after="160" w:before="0" w:line="276" w:lineRule="auto"/>
      </w:pPr>
      <w:r>
        <w:rPr>
          <w:rFonts w:ascii="Calibri" w:hAnsi="Calibri" w:eastAsia="Calibri"/>
          <w:b w:val="0"/>
          <w:i w:val="0"/>
          <w:color w:val="05131D"/>
          <w:sz w:val="22"/>
        </w:rPr>
        <w:t>Tick Applicable. StackEDU does process some sensitive categories as defined in Article 3 (2°). See Section 8 of this report. Tick at least:</w:t>
      </w:r>
    </w:p>
    <w:p>
      <w:pPr>
        <w:pStyle w:val="ListBullet"/>
        <w:spacing w:after="60" w:line="269" w:lineRule="auto"/>
      </w:pPr>
      <w:r>
        <w:rPr>
          <w:rFonts w:ascii="Calibri" w:hAnsi="Calibri" w:eastAsia="Calibri"/>
          <w:b w:val="0"/>
          <w:i w:val="0"/>
          <w:color w:val="05131D"/>
          <w:sz w:val="22"/>
        </w:rPr>
        <w:t>Health status — special-needs / disability descriptions and medical-insurance documents.</w:t>
      </w:r>
    </w:p>
    <w:p>
      <w:pPr>
        <w:pStyle w:val="ListBullet"/>
        <w:spacing w:after="60" w:line="269" w:lineRule="auto"/>
      </w:pPr>
      <w:r>
        <w:rPr>
          <w:rFonts w:ascii="Calibri" w:hAnsi="Calibri" w:eastAsia="Calibri"/>
          <w:b w:val="0"/>
          <w:i w:val="0"/>
          <w:color w:val="05131D"/>
          <w:sz w:val="22"/>
        </w:rPr>
        <w:t>Family details — parent/guardian and emergency-contact records.</w:t>
      </w:r>
    </w:p>
    <w:p>
      <w:pPr>
        <w:pStyle w:val="ListBullet"/>
        <w:spacing w:after="60" w:line="269" w:lineRule="auto"/>
      </w:pPr>
      <w:r>
        <w:rPr>
          <w:rFonts w:ascii="Calibri" w:hAnsi="Calibri" w:eastAsia="Calibri"/>
          <w:b w:val="0"/>
          <w:i w:val="0"/>
          <w:color w:val="05131D"/>
          <w:sz w:val="22"/>
        </w:rPr>
        <w:t>Medical records — only in the limited sense of a medical-insurance document upload and optional blood-group / disability fields on the student profile (schema exists; blood group is not filled automatically at admission today).</w:t>
      </w:r>
    </w:p>
    <w:p>
      <w:pPr>
        <w:pStyle w:val="ListBullet"/>
        <w:spacing w:after="60" w:line="269" w:lineRule="auto"/>
      </w:pPr>
      <w:r>
        <w:rPr>
          <w:rFonts w:ascii="Calibri" w:hAnsi="Calibri" w:eastAsia="Calibri"/>
          <w:b w:val="0"/>
          <w:i w:val="0"/>
          <w:color w:val="05131D"/>
          <w:sz w:val="22"/>
        </w:rPr>
        <w:t>Genetic or biometric information — treat passport-style photographs and any future face/ID scan as biometric-adjacent. Blood group, if used, is health information and is often treated as sensitive. Do not tick genetic unless counsel classifies blood group that way.</w:t>
      </w:r>
    </w:p>
    <w:p>
      <w:pPr>
        <w:spacing w:after="160" w:before="0" w:line="276" w:lineRule="auto"/>
      </w:pPr>
      <w:r>
        <w:rPr>
          <w:rFonts w:ascii="Calibri" w:hAnsi="Calibri" w:eastAsia="Calibri"/>
          <w:b w:val="0"/>
          <w:i w:val="0"/>
          <w:color w:val="05131D"/>
          <w:sz w:val="22"/>
        </w:rPr>
        <w:t>Do not tick race, political opinion, religious or philosophical beliefs, sexual life, or criminal records unless a future feature collects them. The current product does not have dedicated fields for those.</w:t>
      </w:r>
    </w:p>
    <w:p>
      <w:pPr>
        <w:spacing w:after="160" w:before="0" w:line="276" w:lineRule="auto"/>
      </w:pPr>
      <w:r>
        <w:rPr>
          <w:rFonts w:ascii="Calibri" w:hAnsi="Calibri" w:eastAsia="Calibri"/>
          <w:b w:val="0"/>
          <w:i w:val="0"/>
          <w:color w:val="05131D"/>
          <w:sz w:val="22"/>
        </w:rPr>
        <w:t>Grounds for sensitive data (Article 10): typically consent of the data subject (applicant ticks a declaration and optionally describes special needs) and, for enrolled students, obligations of the controller in education (the institution’s duty to keep a student file and to provide reasonable accommodation).</w:t>
      </w:r>
    </w:p>
    <w:p>
      <w:pPr>
        <w:pStyle w:val="Heading2"/>
        <w:spacing w:before="240" w:after="120"/>
      </w:pPr>
      <w:r>
        <w:rPr>
          <w:rFonts w:ascii="Calibri" w:hAnsi="Calibri"/>
          <w:color w:val="05131D"/>
        </w:rPr>
        <w:t>4.4 Section 4 — Processors / Controllers</w:t>
      </w:r>
    </w:p>
    <w:p>
      <w:pPr>
        <w:pStyle w:val="ListBullet"/>
        <w:spacing w:after="60" w:line="269" w:lineRule="auto"/>
      </w:pPr>
      <w:r>
        <w:rPr>
          <w:rFonts w:ascii="Calibri" w:hAnsi="Calibri" w:eastAsia="Calibri"/>
          <w:b w:val="0"/>
          <w:i w:val="0"/>
          <w:color w:val="05131D"/>
          <w:sz w:val="22"/>
        </w:rPr>
        <w:t>On the Controller form: list the sub-processors in Section 11 of this report (hosting, email, storage, payments). Confirm written contracts exist before ticking YES.</w:t>
      </w:r>
    </w:p>
    <w:p>
      <w:pPr>
        <w:pStyle w:val="ListBullet"/>
        <w:spacing w:after="60" w:line="269" w:lineRule="auto"/>
      </w:pPr>
      <w:r>
        <w:rPr>
          <w:rFonts w:ascii="Calibri" w:hAnsi="Calibri" w:eastAsia="Calibri"/>
          <w:b w:val="0"/>
          <w:i w:val="0"/>
          <w:color w:val="05131D"/>
          <w:sz w:val="22"/>
        </w:rPr>
        <w:t>On the Processor form: list each client institution as Data Controller. Tick YES only when a written Article 4 contract is signed.</w:t>
      </w:r>
    </w:p>
    <w:p>
      <w:pPr>
        <w:pStyle w:val="Heading2"/>
        <w:spacing w:before="240" w:after="120"/>
      </w:pPr>
      <w:r>
        <w:rPr>
          <w:rFonts w:ascii="Calibri" w:hAnsi="Calibri"/>
          <w:color w:val="05131D"/>
        </w:rPr>
        <w:t>4.5 Section 5 — Transfer outside Rwanda</w:t>
      </w:r>
    </w:p>
    <w:p>
      <w:pPr>
        <w:spacing w:after="160" w:before="0" w:line="276" w:lineRule="auto"/>
      </w:pPr>
      <w:r>
        <w:rPr>
          <w:rFonts w:ascii="Calibri" w:hAnsi="Calibri" w:eastAsia="Calibri"/>
          <w:b w:val="0"/>
          <w:i w:val="0"/>
          <w:color w:val="05131D"/>
          <w:sz w:val="22"/>
        </w:rPr>
        <w:t>Tick Applicable. Current production hosting is not located in Rwanda (see Section 12). Legal must apply for the separate NCSA authorisations to transfer and, if data at rest is kept abroad, to store personal data outside Rwanda (Articles 48 and 50). List at least: Germany (API and intended database region: Frankfurt), and any country used by Vercel, Cloudflare R2, Resend, and the Postgres provider once confirmed.</w:t>
      </w:r>
    </w:p>
    <w:p>
      <w:pPr>
        <w:pStyle w:val="Heading2"/>
        <w:spacing w:before="240" w:after="120"/>
      </w:pPr>
      <w:r>
        <w:rPr>
          <w:rFonts w:ascii="Calibri" w:hAnsi="Calibri"/>
          <w:color w:val="05131D"/>
        </w:rPr>
        <w:t>4.6 Section 6 — Measures for protection</w:t>
      </w:r>
    </w:p>
    <w:p>
      <w:pPr>
        <w:spacing w:after="160" w:before="0" w:line="276" w:lineRule="auto"/>
      </w:pPr>
      <w:r>
        <w:rPr>
          <w:rFonts w:ascii="Calibri" w:hAnsi="Calibri" w:eastAsia="Calibri"/>
          <w:b w:val="0"/>
          <w:i w:val="0"/>
          <w:color w:val="05131D"/>
          <w:sz w:val="22"/>
        </w:rPr>
        <w:t>Use the risks and safeguards in Section 13. On the storage question: as of this report, production personal data is designed to sit on hosts outside Rwanda. Until NCSA authorisation is granted and/or infrastructure is moved into Rwanda, the honest answer is YES — storage outside Rwanda applies.</w:t>
      </w:r>
    </w:p>
    <w:p>
      <w:pPr>
        <w:pStyle w:val="Heading1"/>
        <w:spacing w:before="320" w:after="120"/>
      </w:pPr>
      <w:r>
        <w:rPr>
          <w:rFonts w:ascii="Calibri" w:hAnsi="Calibri"/>
          <w:color w:val="05131D"/>
        </w:rPr>
        <w:t>5. What StackEDU is (the product)</w:t>
      </w:r>
    </w:p>
    <w:p>
      <w:pPr>
        <w:spacing w:after="160" w:before="0" w:line="276" w:lineRule="auto"/>
      </w:pPr>
      <w:r>
        <w:rPr>
          <w:rFonts w:ascii="Calibri" w:hAnsi="Calibri" w:eastAsia="Calibri"/>
          <w:b w:val="0"/>
          <w:i w:val="0"/>
          <w:color w:val="05131D"/>
          <w:sz w:val="22"/>
        </w:rPr>
        <w:t>StackEDU is an Educational Management System for Rwandan tertiary institutions. A student or applicant uses a web app. Staff use role-based portals. The system covers:</w:t>
      </w:r>
    </w:p>
    <w:p>
      <w:pPr>
        <w:pStyle w:val="ListBullet"/>
        <w:spacing w:after="60" w:line="269" w:lineRule="auto"/>
      </w:pPr>
      <w:r>
        <w:rPr>
          <w:rFonts w:ascii="Calibri" w:hAnsi="Calibri" w:eastAsia="Calibri"/>
          <w:b w:val="0"/>
          <w:i w:val="0"/>
          <w:color w:val="05131D"/>
          <w:sz w:val="22"/>
        </w:rPr>
        <w:t>Admissions: apply, upload documents, pay an application fee, track a decision, accept or decline an offer.</w:t>
      </w:r>
    </w:p>
    <w:p>
      <w:pPr>
        <w:pStyle w:val="ListBullet"/>
        <w:spacing w:after="60" w:line="269" w:lineRule="auto"/>
      </w:pPr>
      <w:r>
        <w:rPr>
          <w:rFonts w:ascii="Calibri" w:hAnsi="Calibri" w:eastAsia="Calibri"/>
          <w:b w:val="0"/>
          <w:i w:val="0"/>
          <w:color w:val="05131D"/>
          <w:sz w:val="22"/>
        </w:rPr>
        <w:t>Student records: registry, profile, enrolment status (active, suspended, transferred, graduated, withdrawn).</w:t>
      </w:r>
    </w:p>
    <w:p>
      <w:pPr>
        <w:pStyle w:val="ListBullet"/>
        <w:spacing w:after="60" w:line="269" w:lineRule="auto"/>
      </w:pPr>
      <w:r>
        <w:rPr>
          <w:rFonts w:ascii="Calibri" w:hAnsi="Calibri" w:eastAsia="Calibri"/>
          <w:b w:val="0"/>
          <w:i w:val="0"/>
          <w:color w:val="05131D"/>
          <w:sz w:val="22"/>
        </w:rPr>
        <w:t>Academic administration: programmes, courses, calendar, results approval, at-risk list, reports.</w:t>
      </w:r>
    </w:p>
    <w:p>
      <w:pPr>
        <w:pStyle w:val="ListBullet"/>
        <w:spacing w:after="60" w:line="269" w:lineRule="auto"/>
      </w:pPr>
      <w:r>
        <w:rPr>
          <w:rFonts w:ascii="Calibri" w:hAnsi="Calibri" w:eastAsia="Calibri"/>
          <w:b w:val="0"/>
          <w:i w:val="0"/>
          <w:color w:val="05131D"/>
          <w:sz w:val="22"/>
        </w:rPr>
        <w:t>Fees (designed in the product; bursar live payments are still being completed): invoices, receipts, mobile money, bank transfer.</w:t>
      </w:r>
    </w:p>
    <w:p>
      <w:pPr>
        <w:pStyle w:val="ListBullet"/>
        <w:spacing w:after="60" w:line="269" w:lineRule="auto"/>
      </w:pPr>
      <w:r>
        <w:rPr>
          <w:rFonts w:ascii="Calibri" w:hAnsi="Calibri" w:eastAsia="Calibri"/>
          <w:b w:val="0"/>
          <w:i w:val="0"/>
          <w:color w:val="05131D"/>
          <w:sz w:val="22"/>
        </w:rPr>
        <w:t>Library (student-facing live in places; librarian portal still being built): catalogue, requests, access logs.</w:t>
      </w:r>
    </w:p>
    <w:p>
      <w:pPr>
        <w:pStyle w:val="ListBullet"/>
        <w:spacing w:after="60" w:line="269" w:lineRule="auto"/>
      </w:pPr>
      <w:r>
        <w:rPr>
          <w:rFonts w:ascii="Calibri" w:hAnsi="Calibri" w:eastAsia="Calibri"/>
          <w:b w:val="0"/>
          <w:i w:val="0"/>
          <w:color w:val="05131D"/>
          <w:sz w:val="22"/>
        </w:rPr>
        <w:t>ICT administration: user accounts, access levels, revocation, audit log, institution branding, integration on/off flags.</w:t>
      </w:r>
    </w:p>
    <w:p>
      <w:pPr>
        <w:spacing w:after="160" w:before="0" w:line="276" w:lineRule="auto"/>
      </w:pPr>
      <w:r>
        <w:rPr>
          <w:rFonts w:ascii="Calibri" w:hAnsi="Calibri" w:eastAsia="Calibri"/>
          <w:b w:val="0"/>
          <w:i w:val="0"/>
          <w:color w:val="05131D"/>
          <w:sz w:val="22"/>
        </w:rPr>
        <w:t>Live public addresses:</w:t>
      </w:r>
    </w:p>
    <w:p>
      <w:pPr>
        <w:pStyle w:val="ListBullet"/>
        <w:spacing w:after="60" w:line="269" w:lineRule="auto"/>
      </w:pPr>
      <w:r>
        <w:rPr>
          <w:rFonts w:ascii="Calibri" w:hAnsi="Calibri" w:eastAsia="Calibri"/>
          <w:b w:val="0"/>
          <w:i w:val="0"/>
          <w:color w:val="05131D"/>
          <w:sz w:val="22"/>
        </w:rPr>
        <w:t>Marketing site: https://stackedu.rw and https://stackedu.africa</w:t>
      </w:r>
    </w:p>
    <w:p>
      <w:pPr>
        <w:pStyle w:val="ListBullet"/>
        <w:spacing w:after="60" w:line="269" w:lineRule="auto"/>
      </w:pPr>
      <w:r>
        <w:rPr>
          <w:rFonts w:ascii="Calibri" w:hAnsi="Calibri" w:eastAsia="Calibri"/>
          <w:b w:val="0"/>
          <w:i w:val="0"/>
          <w:color w:val="05131D"/>
          <w:sz w:val="22"/>
        </w:rPr>
        <w:t>Application and portals: https://app.stackedu.rw (also app.stackedu.africa)</w:t>
      </w:r>
    </w:p>
    <w:p>
      <w:pPr>
        <w:pStyle w:val="ListBullet"/>
        <w:spacing w:after="60" w:line="269" w:lineRule="auto"/>
      </w:pPr>
      <w:r>
        <w:rPr>
          <w:rFonts w:ascii="Calibri" w:hAnsi="Calibri" w:eastAsia="Calibri"/>
          <w:b w:val="0"/>
          <w:i w:val="0"/>
          <w:color w:val="05131D"/>
          <w:sz w:val="22"/>
        </w:rPr>
        <w:t>API: https://api.stackedu.rw</w:t>
      </w:r>
    </w:p>
    <w:p>
      <w:pPr>
        <w:pStyle w:val="Heading1"/>
        <w:spacing w:before="320" w:after="120"/>
      </w:pPr>
      <w:r>
        <w:rPr>
          <w:rFonts w:ascii="Calibri" w:hAnsi="Calibri"/>
          <w:color w:val="05131D"/>
        </w:rPr>
        <w:t>6. Categories of data subjects</w:t>
      </w:r>
    </w:p>
    <w:p>
      <w:pPr>
        <w:spacing w:after="160" w:before="0" w:line="276" w:lineRule="auto"/>
      </w:pPr>
      <w:r>
        <w:rPr>
          <w:rFonts w:ascii="Calibri" w:hAnsi="Calibri" w:eastAsia="Calibri"/>
          <w:b w:val="0"/>
          <w:i w:val="0"/>
          <w:color w:val="05131D"/>
          <w:sz w:val="22"/>
        </w:rPr>
        <w:t>These are the groups of people whose personal data StackEDU holds or is built to hold.</w:t>
      </w:r>
    </w:p>
    <w:tbl>
      <w:tblPr>
        <w:tblW w:type="auto" w:w="0"/>
        <w:jc w:val="center"/>
        <w:tblLayout w:type="autofit"/>
        <w:tblLook w:firstColumn="1" w:firstRow="1" w:lastColumn="0" w:lastRow="0" w:noHBand="0" w:noVBand="1" w:val="04A0"/>
      </w:tblPr>
      <w:tblGrid>
        <w:gridCol w:w="3137"/>
        <w:gridCol w:w="3137"/>
        <w:gridCol w:w="3137"/>
      </w:tblGrid>
      <w:tr>
        <w:tc>
          <w:tcPr>
            <w:tcW w:type="dxa" w:w="238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Category</w:t>
            </w:r>
          </w:p>
        </w:tc>
        <w:tc>
          <w:tcPr>
            <w:tcW w:type="dxa" w:w="3855"/>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How they appear in the system</w:t>
            </w:r>
          </w:p>
        </w:tc>
        <w:tc>
          <w:tcPr>
            <w:tcW w:type="dxa" w:w="3402"/>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Main purpose</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Applicants</w:t>
            </w:r>
          </w:p>
        </w:tc>
        <w:tc>
          <w:tcPr>
            <w:tcW w:type="dxa" w:w="385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Create an account, complete a multi-step form, upload files, pay a fee, track the decision.</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Admission to a programme.</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Parents / guardians</w:t>
            </w:r>
          </w:p>
        </w:tc>
        <w:tc>
          <w:tcPr>
            <w:tcW w:type="dxa" w:w="385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Named on the undergraduate application (type, name, relationship, phone, email, occupation, employer).</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Contact, welfare, and (where relevant) consent for a child under 16.</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Emergency contacts</w:t>
            </w:r>
          </w:p>
        </w:tc>
        <w:tc>
          <w:tcPr>
            <w:tcW w:type="dxa" w:w="385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Name, phone, relationship on the application and on the student profile schema.</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Safety and welfare.</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Students (enrolled)</w:t>
            </w:r>
          </w:p>
        </w:tc>
        <w:tc>
          <w:tcPr>
            <w:tcW w:type="dxa" w:w="385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Student number, programme, year, status, profile, results, attendance, fees, library use.</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Teaching, assessment, welfare, and administration of the student contract.</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Lecturers</w:t>
            </w:r>
          </w:p>
        </w:tc>
        <w:tc>
          <w:tcPr>
            <w:tcW w:type="dxa" w:w="385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Staff account, course assignment, results entry, attendance taking.</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Employment / academic duties.</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Academic administrators (Registrar)</w:t>
            </w:r>
          </w:p>
        </w:tc>
        <w:tc>
          <w:tcPr>
            <w:tcW w:type="dxa" w:w="385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Staff account; review applications; manage courses, calendar, results approval, enrolment status.</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Running the academic office.</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Bursars</w:t>
            </w:r>
          </w:p>
        </w:tc>
        <w:tc>
          <w:tcPr>
            <w:tcW w:type="dxa" w:w="385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Staff account; fee structures, ledgers, receipts (module in progress).</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Collecting and reconciling fees.</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Librarians</w:t>
            </w:r>
          </w:p>
        </w:tc>
        <w:tc>
          <w:tcPr>
            <w:tcW w:type="dxa" w:w="385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Staff account; catalogue and requests (module in progress).</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Library administration.</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ICT managers</w:t>
            </w:r>
          </w:p>
        </w:tc>
        <w:tc>
          <w:tcPr>
            <w:tcW w:type="dxa" w:w="385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Staff account; create users, revoke access, audit log, branding, integrations.</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Security and system administration for the institution.</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Payers (may be the student or another person)</w:t>
            </w:r>
          </w:p>
        </w:tc>
        <w:tc>
          <w:tcPr>
            <w:tcW w:type="dxa" w:w="385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Mobile-money phone number, payer name/phone on reconciliation records.</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Taking and matching payments.</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StackForgeAI platform staff</w:t>
            </w:r>
          </w:p>
        </w:tc>
        <w:tc>
          <w:tcPr>
            <w:tcW w:type="dxa" w:w="385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Platform admin accounts on the shared database.</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Provisioning institutions and operating the platform.</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Website visitors</w:t>
            </w:r>
          </w:p>
        </w:tc>
        <w:tc>
          <w:tcPr>
            <w:tcW w:type="dxa" w:w="385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Marketing site. Any analytics or contact forms are separate from the EMS student database.</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Marketing and support.</w:t>
            </w:r>
          </w:p>
        </w:tc>
      </w:tr>
    </w:tbl>
    <w:p/>
    <w:p>
      <w:pPr>
        <w:pStyle w:val="Heading1"/>
        <w:spacing w:before="320" w:after="120"/>
      </w:pPr>
      <w:r>
        <w:rPr>
          <w:rFonts w:ascii="Calibri" w:hAnsi="Calibri"/>
          <w:color w:val="05131D"/>
        </w:rPr>
        <w:t>7. Full inventory of personal data StackEDU collects and stores</w:t>
      </w:r>
    </w:p>
    <w:p>
      <w:pPr>
        <w:spacing w:after="160" w:before="0" w:line="276" w:lineRule="auto"/>
      </w:pPr>
      <w:r>
        <w:rPr>
          <w:rFonts w:ascii="Calibri" w:hAnsi="Calibri" w:eastAsia="Calibri"/>
          <w:b w:val="0"/>
          <w:i w:val="0"/>
          <w:color w:val="05131D"/>
          <w:sz w:val="22"/>
        </w:rPr>
        <w:t>This is the complete field-level picture from the live database schemas and the admissions form. “Live now” means the product actually writes or reads the field in normal use. “Schema ready” means the database column exists for a planned or partial feature and must still be declared because the system can store it.</w:t>
      </w:r>
    </w:p>
    <w:p>
      <w:pPr>
        <w:pStyle w:val="Heading2"/>
        <w:spacing w:before="240" w:after="120"/>
      </w:pPr>
      <w:r>
        <w:rPr>
          <w:rFonts w:ascii="Calibri" w:hAnsi="Calibri"/>
          <w:color w:val="05131D"/>
        </w:rPr>
        <w:t>7.1 Account and sign-in data (all roles)</w:t>
      </w:r>
    </w:p>
    <w:tbl>
      <w:tblPr>
        <w:tblW w:type="auto" w:w="0"/>
        <w:jc w:val="center"/>
        <w:tblLayout w:type="autofit"/>
        <w:tblLook w:firstColumn="1" w:firstRow="1" w:lastColumn="0" w:lastRow="0" w:noHBand="0" w:noVBand="1" w:val="04A0"/>
      </w:tblPr>
      <w:tblGrid>
        <w:gridCol w:w="3137"/>
        <w:gridCol w:w="3137"/>
        <w:gridCol w:w="3137"/>
      </w:tblGrid>
      <w:tr>
        <w:tc>
          <w:tcPr>
            <w:tcW w:type="dxa" w:w="255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Data</w:t>
            </w:r>
          </w:p>
        </w:tc>
        <w:tc>
          <w:tcPr>
            <w:tcW w:type="dxa" w:w="4819"/>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Examples / fields</w:t>
            </w:r>
          </w:p>
        </w:tc>
        <w:tc>
          <w:tcPr>
            <w:tcW w:type="dxa" w:w="226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Status</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Identity</w:t>
            </w:r>
          </w:p>
        </w:tc>
        <w:tc>
          <w:tcPr>
            <w:tcW w:type="dxa" w:w="481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Full name; role (Applicant, Student, Lecturer, Academic Admin, Bursar, Librarian, ICT Manager).</w:t>
            </w:r>
          </w:p>
        </w:tc>
        <w:tc>
          <w:tcPr>
            <w:tcW w:type="dxa" w:w="226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Live</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Contact</w:t>
            </w:r>
          </w:p>
        </w:tc>
        <w:tc>
          <w:tcPr>
            <w:tcW w:type="dxa" w:w="481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Email; phone; email/phone verified timestamps.</w:t>
            </w:r>
          </w:p>
        </w:tc>
        <w:tc>
          <w:tcPr>
            <w:tcW w:type="dxa" w:w="226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Live</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Login credentials</w:t>
            </w:r>
          </w:p>
        </w:tc>
        <w:tc>
          <w:tcPr>
            <w:tcW w:type="dxa" w:w="481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Password stored only as a one-way hash (not the real password); optional two-factor secret (TOTP).</w:t>
            </w:r>
          </w:p>
        </w:tc>
        <w:tc>
          <w:tcPr>
            <w:tcW w:type="dxa" w:w="226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Live</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Session</w:t>
            </w:r>
          </w:p>
        </w:tc>
        <w:tc>
          <w:tcPr>
            <w:tcW w:type="dxa" w:w="481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Session token in an HttpOnly cookie; expiry; optional IP address and browser (user agent).</w:t>
            </w:r>
          </w:p>
        </w:tc>
        <w:tc>
          <w:tcPr>
            <w:tcW w:type="dxa" w:w="226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Live</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Activity</w:t>
            </w:r>
          </w:p>
        </w:tc>
        <w:tc>
          <w:tcPr>
            <w:tcW w:type="dxa" w:w="481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Last login time; notification channel preferences (email / SMS / in-app).</w:t>
            </w:r>
          </w:p>
        </w:tc>
        <w:tc>
          <w:tcPr>
            <w:tcW w:type="dxa" w:w="226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Live</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Profile photo key</w:t>
            </w:r>
          </w:p>
        </w:tc>
        <w:tc>
          <w:tcPr>
            <w:tcW w:type="dxa" w:w="481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Link to a stored image (avatar). Upload flow is not fully wired.</w:t>
            </w:r>
          </w:p>
        </w:tc>
        <w:tc>
          <w:tcPr>
            <w:tcW w:type="dxa" w:w="226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Schema ready</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External sign-in tokens</w:t>
            </w:r>
          </w:p>
        </w:tc>
        <w:tc>
          <w:tcPr>
            <w:tcW w:type="dxa" w:w="481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OAuth-style tokens table.</w:t>
            </w:r>
          </w:p>
        </w:tc>
        <w:tc>
          <w:tcPr>
            <w:tcW w:type="dxa" w:w="226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Schema ready — not used in services today</w:t>
            </w:r>
          </w:p>
        </w:tc>
      </w:tr>
    </w:tbl>
    <w:p/>
    <w:p>
      <w:pPr>
        <w:pStyle w:val="Heading2"/>
        <w:spacing w:before="240" w:after="120"/>
      </w:pPr>
      <w:r>
        <w:rPr>
          <w:rFonts w:ascii="Calibri" w:hAnsi="Calibri"/>
          <w:color w:val="05131D"/>
        </w:rPr>
        <w:t>7.2 Shared platform directory (cross-institution)</w:t>
      </w:r>
    </w:p>
    <w:p>
      <w:pPr>
        <w:spacing w:after="160" w:before="0" w:line="276" w:lineRule="auto"/>
      </w:pPr>
      <w:r>
        <w:rPr>
          <w:rFonts w:ascii="Calibri" w:hAnsi="Calibri" w:eastAsia="Calibri"/>
          <w:b w:val="0"/>
          <w:i w:val="0"/>
          <w:color w:val="05131D"/>
          <w:sz w:val="22"/>
        </w:rPr>
        <w:t>A small shared database does not hold student files. It only holds enough to send the person to the right institution database after they type an email or student number.</w:t>
      </w:r>
    </w:p>
    <w:tbl>
      <w:tblPr>
        <w:tblW w:type="auto" w:w="0"/>
        <w:jc w:val="center"/>
        <w:tblLayout w:type="autofit"/>
        <w:tblLook w:firstColumn="1" w:firstRow="1" w:lastColumn="0" w:lastRow="0" w:noHBand="0" w:noVBand="1" w:val="04A0"/>
      </w:tblPr>
      <w:tblGrid>
        <w:gridCol w:w="4706"/>
        <w:gridCol w:w="4706"/>
      </w:tblGrid>
      <w:tr>
        <w:tc>
          <w:tcPr>
            <w:tcW w:type="dxa" w:w="3969"/>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Data</w:t>
            </w:r>
          </w:p>
        </w:tc>
        <w:tc>
          <w:tcPr>
            <w:tcW w:type="dxa" w:w="5669"/>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Why it exists</w:t>
            </w:r>
          </w:p>
        </w:tc>
      </w:tr>
      <w:tr>
        <w:tc>
          <w:tcPr>
            <w:tcW w:type="dxa" w:w="39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Email address</w:t>
            </w:r>
          </w:p>
        </w:tc>
        <w:tc>
          <w:tcPr>
            <w:tcW w:type="dxa" w:w="56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Find which institution the person belongs to.</w:t>
            </w:r>
          </w:p>
        </w:tc>
      </w:tr>
      <w:tr>
        <w:tc>
          <w:tcPr>
            <w:tcW w:type="dxa" w:w="396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Alternate identifier</w:t>
            </w:r>
          </w:p>
        </w:tc>
        <w:tc>
          <w:tcPr>
            <w:tcW w:type="dxa" w:w="566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Application reference (APP-…) or student number, so they can sign in without email.</w:t>
            </w:r>
          </w:p>
        </w:tc>
      </w:tr>
      <w:tr>
        <w:tc>
          <w:tcPr>
            <w:tcW w:type="dxa" w:w="39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Institution link, user id, role, active flag</w:t>
            </w:r>
          </w:p>
        </w:tc>
        <w:tc>
          <w:tcPr>
            <w:tcW w:type="dxa" w:w="56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Route the session to the correct school database.</w:t>
            </w:r>
          </w:p>
        </w:tc>
      </w:tr>
      <w:tr>
        <w:tc>
          <w:tcPr>
            <w:tcW w:type="dxa" w:w="396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Login attempts: email, success/failure, IP address, browser, time</w:t>
            </w:r>
          </w:p>
        </w:tc>
        <w:tc>
          <w:tcPr>
            <w:tcW w:type="dxa" w:w="566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Security: detect abuse and failed sign-ins.</w:t>
            </w:r>
          </w:p>
        </w:tc>
      </w:tr>
      <w:tr>
        <w:tc>
          <w:tcPr>
            <w:tcW w:type="dxa" w:w="39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Platform admin name, email, password hash, last login</w:t>
            </w:r>
          </w:p>
        </w:tc>
        <w:tc>
          <w:tcPr>
            <w:tcW w:type="dxa" w:w="56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StackForgeAI operators.</w:t>
            </w:r>
          </w:p>
        </w:tc>
      </w:tr>
      <w:tr>
        <w:tc>
          <w:tcPr>
            <w:tcW w:type="dxa" w:w="396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Platform audit: actor email, action, target, metadata, IP</w:t>
            </w:r>
          </w:p>
        </w:tc>
        <w:tc>
          <w:tcPr>
            <w:tcW w:type="dxa" w:w="566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Who provisioned or changed an institution.</w:t>
            </w:r>
          </w:p>
        </w:tc>
      </w:tr>
      <w:tr>
        <w:tc>
          <w:tcPr>
            <w:tcW w:type="dxa" w:w="39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Institution contact email, name, logo file key, location, website</w:t>
            </w:r>
          </w:p>
        </w:tc>
        <w:tc>
          <w:tcPr>
            <w:tcW w:type="dxa" w:w="56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School identity shown on login and apply screens.</w:t>
            </w:r>
          </w:p>
        </w:tc>
      </w:tr>
      <w:tr>
        <w:tc>
          <w:tcPr>
            <w:tcW w:type="dxa" w:w="396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Billing: active student count, amount, invoice reference</w:t>
            </w:r>
          </w:p>
        </w:tc>
        <w:tc>
          <w:tcPr>
            <w:tcW w:type="dxa" w:w="566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Charge the institution for the service.</w:t>
            </w:r>
          </w:p>
        </w:tc>
      </w:tr>
    </w:tbl>
    <w:p/>
    <w:p>
      <w:pPr>
        <w:pStyle w:val="Heading2"/>
        <w:spacing w:before="240" w:after="120"/>
      </w:pPr>
      <w:r>
        <w:rPr>
          <w:rFonts w:ascii="Calibri" w:hAnsi="Calibri"/>
          <w:color w:val="05131D"/>
        </w:rPr>
        <w:t>7.3 Admissions — data the applicant types</w:t>
      </w:r>
    </w:p>
    <w:p>
      <w:pPr>
        <w:spacing w:after="160" w:before="0" w:line="276" w:lineRule="auto"/>
      </w:pPr>
      <w:r>
        <w:rPr>
          <w:rFonts w:ascii="Calibri" w:hAnsi="Calibri" w:eastAsia="Calibri"/>
          <w:b w:val="0"/>
          <w:i w:val="0"/>
          <w:color w:val="05131D"/>
          <w:sz w:val="22"/>
        </w:rPr>
        <w:t>Registration (start of apply): full name, email, phone, chosen programme, password. A six-digit email verification code is stored only as a hash until used.</w:t>
      </w:r>
    </w:p>
    <w:p>
      <w:pPr>
        <w:spacing w:after="160" w:before="0" w:line="276" w:lineRule="auto"/>
      </w:pPr>
      <w:r>
        <w:rPr>
          <w:rFonts w:ascii="Calibri" w:hAnsi="Calibri" w:eastAsia="Calibri"/>
          <w:b w:val="0"/>
          <w:i w:val="0"/>
          <w:color w:val="05131D"/>
          <w:sz w:val="22"/>
        </w:rPr>
        <w:t>Application form fields (saved as the person goes, including unfinished drafts):</w:t>
      </w:r>
    </w:p>
    <w:tbl>
      <w:tblPr>
        <w:tblW w:type="auto" w:w="0"/>
        <w:jc w:val="center"/>
        <w:tblLayout w:type="autofit"/>
        <w:tblLook w:firstColumn="1" w:firstRow="1" w:lastColumn="0" w:lastRow="0" w:noHBand="0" w:noVBand="1" w:val="04A0"/>
      </w:tblPr>
      <w:tblGrid>
        <w:gridCol w:w="4706"/>
        <w:gridCol w:w="4706"/>
      </w:tblGrid>
      <w:tr>
        <w:tc>
          <w:tcPr>
            <w:tcW w:type="dxa" w:w="311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Group</w:t>
            </w:r>
          </w:p>
        </w:tc>
        <w:tc>
          <w:tcPr>
            <w:tcW w:type="dxa" w:w="652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Fields collected</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Personal</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First name, last name, date of birth, gender (Male / Female / Other), nationality, national ID or passport number, ID document type.</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Contact and place</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Email, phone, country of birth, country of residence, district of residence, city of residence, address.</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Education history</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Previous institution, previous qualification, exam index number, A-level combination, completion year, grade, subjects, awards, institution country.</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Programme choice</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Programme, entry year, study mode, how they heard about the school, interest in financial aid (yes/no).</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Parent / guardian (required for undergraduates)</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Guardian type (Father / Mother / Legal Guardian), full name, relationship, phone, email (optional), occupation, employer (optional).</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Motivation</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Personal statement (free text).</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Health / accessibility</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Whether they have disabilities or special needs (yes/no) and a free-text description of accommodations.</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Emergency contact</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Full name, phone, relationship (Parent, Sibling, Spouse, Friend, Colleague, Other).</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Declaration</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Confirmation that the information is true.</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Payment helper fields</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Payment method and payer mobile-money phone number.</w:t>
            </w:r>
          </w:p>
        </w:tc>
      </w:tr>
    </w:tbl>
    <w:p/>
    <w:p>
      <w:pPr>
        <w:pStyle w:val="Heading2"/>
        <w:spacing w:before="240" w:after="120"/>
      </w:pPr>
      <w:r>
        <w:rPr>
          <w:rFonts w:ascii="Calibri" w:hAnsi="Calibri"/>
          <w:color w:val="05131D"/>
        </w:rPr>
        <w:t>7.4 Admissions — files the applicant uploads</w:t>
      </w:r>
    </w:p>
    <w:p>
      <w:pPr>
        <w:spacing w:after="160" w:before="0" w:line="276" w:lineRule="auto"/>
      </w:pPr>
      <w:r>
        <w:rPr>
          <w:rFonts w:ascii="Calibri" w:hAnsi="Calibri" w:eastAsia="Calibri"/>
          <w:b w:val="0"/>
          <w:i w:val="0"/>
          <w:color w:val="05131D"/>
          <w:sz w:val="22"/>
        </w:rPr>
        <w:t>Each file is stored privately (not a public link). Staff see it only after signing in. Maximum size is 10 MB per file. Required before paying and submitting, except birth certificate:</w:t>
      </w:r>
    </w:p>
    <w:tbl>
      <w:tblPr>
        <w:tblW w:type="auto" w:w="0"/>
        <w:jc w:val="center"/>
        <w:tblLayout w:type="autofit"/>
        <w:tblLook w:firstColumn="1" w:firstRow="1" w:lastColumn="0" w:lastRow="0" w:noHBand="0" w:noVBand="1" w:val="04A0"/>
      </w:tblPr>
      <w:tblGrid>
        <w:gridCol w:w="3137"/>
        <w:gridCol w:w="3137"/>
        <w:gridCol w:w="3137"/>
      </w:tblGrid>
      <w:tr>
        <w:tc>
          <w:tcPr>
            <w:tcW w:type="dxa" w:w="238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Document type</w:t>
            </w:r>
          </w:p>
        </w:tc>
        <w:tc>
          <w:tcPr>
            <w:tcW w:type="dxa" w:w="3855"/>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Typical content</w:t>
            </w:r>
          </w:p>
        </w:tc>
        <w:tc>
          <w:tcPr>
            <w:tcW w:type="dxa" w:w="3402"/>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Sensitivity</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National ID</w:t>
            </w:r>
          </w:p>
        </w:tc>
        <w:tc>
          <w:tcPr>
            <w:tcW w:type="dxa" w:w="385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Copy of national ID or passport.</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Identity document</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School certificate</w:t>
            </w:r>
          </w:p>
        </w:tc>
        <w:tc>
          <w:tcPr>
            <w:tcW w:type="dxa" w:w="385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Secondary school certificate.</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Education history</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Transcript</w:t>
            </w:r>
          </w:p>
        </w:tc>
        <w:tc>
          <w:tcPr>
            <w:tcW w:type="dxa" w:w="385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Academic transcript.</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Education history</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Photo</w:t>
            </w:r>
          </w:p>
        </w:tc>
        <w:tc>
          <w:tcPr>
            <w:tcW w:type="dxa" w:w="385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Passport-style photograph.</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Image of the person (treat as biometric-adjacent)</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Medical insurance</w:t>
            </w:r>
          </w:p>
        </w:tc>
        <w:tc>
          <w:tcPr>
            <w:tcW w:type="dxa" w:w="385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Medical insurance card or policy page.</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Health-related (sensitive)</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Birth certificate</w:t>
            </w:r>
          </w:p>
        </w:tc>
        <w:tc>
          <w:tcPr>
            <w:tcW w:type="dxa" w:w="385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Optional unless requested.</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Identity; may include parent names (family details)</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Other (named by staff)</w:t>
            </w:r>
          </w:p>
        </w:tc>
        <w:tc>
          <w:tcPr>
            <w:tcW w:type="dxa" w:w="385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Any extra file the registrar asks for.</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Depends on what is requested</w:t>
            </w:r>
          </w:p>
        </w:tc>
      </w:tr>
    </w:tbl>
    <w:p/>
    <w:p>
      <w:pPr>
        <w:pStyle w:val="Heading2"/>
        <w:spacing w:before="240" w:after="120"/>
      </w:pPr>
      <w:r>
        <w:rPr>
          <w:rFonts w:ascii="Calibri" w:hAnsi="Calibri"/>
          <w:color w:val="05131D"/>
        </w:rPr>
        <w:t>7.5 Admissions — workflow and money</w:t>
      </w:r>
    </w:p>
    <w:tbl>
      <w:tblPr>
        <w:tblW w:type="auto" w:w="0"/>
        <w:jc w:val="center"/>
        <w:tblLayout w:type="autofit"/>
        <w:tblLook w:firstColumn="1" w:firstRow="1" w:lastColumn="0" w:lastRow="0" w:noHBand="0" w:noVBand="1" w:val="04A0"/>
      </w:tblPr>
      <w:tblGrid>
        <w:gridCol w:w="4706"/>
        <w:gridCol w:w="4706"/>
      </w:tblGrid>
      <w:tr>
        <w:tc>
          <w:tcPr>
            <w:tcW w:type="dxa" w:w="2835"/>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Data</w:t>
            </w:r>
          </w:p>
        </w:tc>
        <w:tc>
          <w:tcPr>
            <w:tcW w:type="dxa" w:w="6803"/>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What it includes</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Application reference</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Public ID the applicant uses to track and sometimes to sign in.</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Status and dates</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Draft, submitted, under review, documents requested, accepted, rejected; submitted and reviewed timestamps.</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Review notes</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Reviewer name, decision, comments, list of extra documents asked for.</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Admission offer</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Expiry, accepted/declined times, whether the offer is conditional, condition text, offer-letter file.</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Application fee</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Amount in RWF, method (MTN MoMo, Airtel Money, card, bank transfer), status, gateway reference, paid time, payer phone.</w:t>
            </w:r>
          </w:p>
        </w:tc>
      </w:tr>
    </w:tbl>
    <w:p/>
    <w:p>
      <w:pPr>
        <w:pStyle w:val="Heading2"/>
        <w:spacing w:before="240" w:after="120"/>
      </w:pPr>
      <w:r>
        <w:rPr>
          <w:rFonts w:ascii="Calibri" w:hAnsi="Calibri"/>
          <w:color w:val="05131D"/>
        </w:rPr>
        <w:t>7.6 Student registry and profile (after admission)</w:t>
      </w:r>
    </w:p>
    <w:tbl>
      <w:tblPr>
        <w:tblW w:type="auto" w:w="0"/>
        <w:jc w:val="center"/>
        <w:tblLayout w:type="autofit"/>
        <w:tblLook w:firstColumn="1" w:firstRow="1" w:lastColumn="0" w:lastRow="0" w:noHBand="0" w:noVBand="1" w:val="04A0"/>
      </w:tblPr>
      <w:tblGrid>
        <w:gridCol w:w="3137"/>
        <w:gridCol w:w="3137"/>
        <w:gridCol w:w="3137"/>
      </w:tblGrid>
      <w:tr>
        <w:tc>
          <w:tcPr>
            <w:tcW w:type="dxa" w:w="255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Data</w:t>
            </w:r>
          </w:p>
        </w:tc>
        <w:tc>
          <w:tcPr>
            <w:tcW w:type="dxa" w:w="4252"/>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Fields</w:t>
            </w:r>
          </w:p>
        </w:tc>
        <w:tc>
          <w:tcPr>
            <w:tcW w:type="dxa" w:w="2835"/>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Notes</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Student identity</w:t>
            </w:r>
          </w:p>
        </w:tc>
        <w:tc>
          <w:tcPr>
            <w:tcW w:type="dxa" w:w="425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Student number, linked login account, programme, year of study.</w:t>
            </w:r>
          </w:p>
        </w:tc>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Live</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Enrolment status</w:t>
            </w:r>
          </w:p>
        </w:tc>
        <w:tc>
          <w:tcPr>
            <w:tcW w:type="dxa" w:w="425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Active, Suspended, Transferred, Graduated, Withdrawn; admitted, expected graduation, graduated dates; fee-hold flag.</w:t>
            </w:r>
          </w:p>
        </w:tc>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Live — status changes require a written reason and are audited</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Profile</w:t>
            </w:r>
          </w:p>
        </w:tc>
        <w:tc>
          <w:tcPr>
            <w:tcW w:type="dxa" w:w="425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First name, last name, date of birth, gender, national ID, nationality, address, district, contact phone.</w:t>
            </w:r>
          </w:p>
        </w:tc>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Partly copied from the application at acceptance</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Emergency contact on profile</w:t>
            </w:r>
          </w:p>
        </w:tc>
        <w:tc>
          <w:tcPr>
            <w:tcW w:type="dxa" w:w="425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Name and phone.</w:t>
            </w:r>
          </w:p>
        </w:tc>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Schema ready; not auto-copied from the application today</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Health on profile</w:t>
            </w:r>
          </w:p>
        </w:tc>
        <w:tc>
          <w:tcPr>
            <w:tcW w:type="dxa" w:w="425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Blood group; disabilities text.</w:t>
            </w:r>
          </w:p>
        </w:tc>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Schema ready; not auto-filled at admission today</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Guardians table</w:t>
            </w:r>
          </w:p>
        </w:tc>
        <w:tc>
          <w:tcPr>
            <w:tcW w:type="dxa" w:w="425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Name, relationship, phone, email, address, whether they receive fee notices.</w:t>
            </w:r>
          </w:p>
        </w:tc>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Schema ready; guardian data today lives on the application form, not this table</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Enrolment history</w:t>
            </w:r>
          </w:p>
        </w:tc>
        <w:tc>
          <w:tcPr>
            <w:tcW w:type="dxa" w:w="425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From-status, to-status, reason, effective date, who changed it.</w:t>
            </w:r>
          </w:p>
        </w:tc>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Live for suspend / transfer / graduate / withdraw</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GPA and standing</w:t>
            </w:r>
          </w:p>
        </w:tc>
        <w:tc>
          <w:tcPr>
            <w:tcW w:type="dxa" w:w="425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Semester GPA, CGPA, academic standing (Good, Probation, Suspension).</w:t>
            </w:r>
          </w:p>
        </w:tc>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Live where results exist</w:t>
            </w:r>
          </w:p>
        </w:tc>
      </w:tr>
    </w:tbl>
    <w:p/>
    <w:p>
      <w:pPr>
        <w:pStyle w:val="Heading2"/>
        <w:spacing w:before="240" w:after="120"/>
      </w:pPr>
      <w:r>
        <w:rPr>
          <w:rFonts w:ascii="Calibri" w:hAnsi="Calibri"/>
          <w:color w:val="05131D"/>
        </w:rPr>
        <w:t>7.7 Academic life (courses, attendance, results)</w:t>
      </w:r>
    </w:p>
    <w:tbl>
      <w:tblPr>
        <w:tblW w:type="auto" w:w="0"/>
        <w:jc w:val="center"/>
        <w:tblLayout w:type="autofit"/>
        <w:tblLook w:firstColumn="1" w:firstRow="1" w:lastColumn="0" w:lastRow="0" w:noHBand="0" w:noVBand="1" w:val="04A0"/>
      </w:tblPr>
      <w:tblGrid>
        <w:gridCol w:w="4706"/>
        <w:gridCol w:w="4706"/>
      </w:tblGrid>
      <w:tr>
        <w:tc>
          <w:tcPr>
            <w:tcW w:type="dxa" w:w="2835"/>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Data</w:t>
            </w:r>
          </w:p>
        </w:tc>
        <w:tc>
          <w:tcPr>
            <w:tcW w:type="dxa" w:w="6803"/>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What is stored about a person</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Course registration</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Which student registered for which offering; approval or rejection reason.</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Attendance</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Present / absent / other status per session; optional note; who took the register.</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Assignments</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Student text answers and uploaded files; marks; written feedback.</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Results</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Scores, letter grade, grade point, credits earned, pass/fail, remarks; who submitted, approved or published the batch.</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Transcripts</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Generated file, verification code, who generated it.</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Class rank / GPA snapshots</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Stored snapshots of performance.</w:t>
            </w:r>
          </w:p>
        </w:tc>
      </w:tr>
    </w:tbl>
    <w:p/>
    <w:p>
      <w:pPr>
        <w:spacing w:after="160" w:before="0" w:line="276" w:lineRule="auto"/>
      </w:pPr>
      <w:r>
        <w:rPr>
          <w:rFonts w:ascii="Calibri" w:hAnsi="Calibri" w:eastAsia="Calibri"/>
          <w:b w:val="0"/>
          <w:i/>
          <w:color w:val="05131D"/>
          <w:sz w:val="20"/>
        </w:rPr>
        <w:t>Article 18 of the DPP Law says a person does not have an automatic right to a copy of examination scripts or examination marks in the same way as other personal data. The institution should still have a clear marks-release process. This is an exception to the right of access, not a licence to be careless with marks.</w:t>
      </w:r>
    </w:p>
    <w:p>
      <w:pPr>
        <w:pStyle w:val="Heading2"/>
        <w:spacing w:before="240" w:after="120"/>
      </w:pPr>
      <w:r>
        <w:rPr>
          <w:rFonts w:ascii="Calibri" w:hAnsi="Calibri"/>
          <w:color w:val="05131D"/>
        </w:rPr>
        <w:t>7.8 Fees and payments</w:t>
      </w:r>
    </w:p>
    <w:tbl>
      <w:tblPr>
        <w:tblW w:type="auto" w:w="0"/>
        <w:jc w:val="center"/>
        <w:tblLayout w:type="autofit"/>
        <w:tblLook w:firstColumn="1" w:firstRow="1" w:lastColumn="0" w:lastRow="0" w:noHBand="0" w:noVBand="1" w:val="04A0"/>
      </w:tblPr>
      <w:tblGrid>
        <w:gridCol w:w="4706"/>
        <w:gridCol w:w="4706"/>
      </w:tblGrid>
      <w:tr>
        <w:tc>
          <w:tcPr>
            <w:tcW w:type="dxa" w:w="255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Data</w:t>
            </w:r>
          </w:p>
        </w:tc>
        <w:tc>
          <w:tcPr>
            <w:tcW w:type="dxa" w:w="7087"/>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What is stored</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Fee account</w:t>
            </w:r>
          </w:p>
        </w:tc>
        <w:tc>
          <w:tcPr>
            <w:tcW w:type="dxa" w:w="7087"/>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Balances, last payment date, linked student.</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Invoices</w:t>
            </w:r>
          </w:p>
        </w:tc>
        <w:tc>
          <w:tcPr>
            <w:tcW w:type="dxa" w:w="7087"/>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Amounts, line items, due dates.</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Payments</w:t>
            </w:r>
          </w:p>
        </w:tc>
        <w:tc>
          <w:tcPr>
            <w:tcW w:type="dxa" w:w="7087"/>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Reference, amount, method, gateway reference, full gateway response (may include MSISDN / transaction ids), failure reason, void records.</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Payment attempts</w:t>
            </w:r>
          </w:p>
        </w:tc>
        <w:tc>
          <w:tcPr>
            <w:tcW w:type="dxa" w:w="7087"/>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Request and response payloads from the gateway.</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Receipts</w:t>
            </w:r>
          </w:p>
        </w:tc>
        <w:tc>
          <w:tcPr>
            <w:tcW w:type="dxa" w:w="7087"/>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Receipt number, PDF file, verification code.</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Fee holds</w:t>
            </w:r>
          </w:p>
        </w:tc>
        <w:tc>
          <w:tcPr>
            <w:tcW w:type="dxa" w:w="7087"/>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Reason and outstanding amount.</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Reconciliation</w:t>
            </w:r>
          </w:p>
        </w:tc>
        <w:tc>
          <w:tcPr>
            <w:tcW w:type="dxa" w:w="7087"/>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Payer name, payer phone, narration, external reference, matched student.</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Refunds</w:t>
            </w:r>
          </w:p>
        </w:tc>
        <w:tc>
          <w:tcPr>
            <w:tcW w:type="dxa" w:w="7087"/>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Amount, reason, who approved.</w:t>
            </w:r>
          </w:p>
        </w:tc>
      </w:tr>
    </w:tbl>
    <w:p/>
    <w:p>
      <w:pPr>
        <w:spacing w:after="160" w:before="0" w:line="276" w:lineRule="auto"/>
      </w:pPr>
      <w:r>
        <w:rPr>
          <w:rFonts w:ascii="Calibri" w:hAnsi="Calibri" w:eastAsia="Calibri"/>
          <w:b w:val="0"/>
          <w:i w:val="0"/>
          <w:color w:val="05131D"/>
          <w:sz w:val="20"/>
        </w:rPr>
        <w:t>Live admissions fees support MTN MoMo, Airtel Money, card and bank transfer in the product. Sandbox mode completes MoMo/Airtel immediately. Live gateway webhooks still need provider keys. Card (DPO Pay) and SMS billing notices are designed but not fully wired. Declare them as intended processing if they will go live, and update NCSA within 15 working days of a real change (Article 32).</w:t>
      </w:r>
    </w:p>
    <w:p>
      <w:pPr>
        <w:pStyle w:val="Heading2"/>
        <w:spacing w:before="240" w:after="120"/>
      </w:pPr>
      <w:r>
        <w:rPr>
          <w:rFonts w:ascii="Calibri" w:hAnsi="Calibri"/>
          <w:color w:val="05131D"/>
        </w:rPr>
        <w:t>7.9 Library</w:t>
      </w:r>
    </w:p>
    <w:tbl>
      <w:tblPr>
        <w:tblW w:type="auto" w:w="0"/>
        <w:jc w:val="center"/>
        <w:tblLayout w:type="autofit"/>
        <w:tblLook w:firstColumn="1" w:firstRow="1" w:lastColumn="0" w:lastRow="0" w:noHBand="0" w:noVBand="1" w:val="04A0"/>
      </w:tblPr>
      <w:tblGrid>
        <w:gridCol w:w="4706"/>
        <w:gridCol w:w="4706"/>
      </w:tblGrid>
      <w:tr>
        <w:tc>
          <w:tcPr>
            <w:tcW w:type="dxa" w:w="2835"/>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Data</w:t>
            </w:r>
          </w:p>
        </w:tc>
        <w:tc>
          <w:tcPr>
            <w:tcW w:type="dxa" w:w="6803"/>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What is stored</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Resource requests</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Who asked, title, author, reason.</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Access logs</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Which user or student opened or downloaded which resource, and when.</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Files</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E-books and papers themselves are usually not personal data, unless a person is named in an upload.</w:t>
            </w:r>
          </w:p>
        </w:tc>
      </w:tr>
    </w:tbl>
    <w:p/>
    <w:p>
      <w:pPr>
        <w:pStyle w:val="Heading2"/>
        <w:spacing w:before="240" w:after="120"/>
      </w:pPr>
      <w:r>
        <w:rPr>
          <w:rFonts w:ascii="Calibri" w:hAnsi="Calibri"/>
          <w:color w:val="05131D"/>
        </w:rPr>
        <w:t>7.10 At-risk / early-warning (profiling)</w:t>
      </w:r>
    </w:p>
    <w:p>
      <w:pPr>
        <w:spacing w:after="160" w:before="0" w:line="276" w:lineRule="auto"/>
      </w:pPr>
      <w:r>
        <w:rPr>
          <w:rFonts w:ascii="Calibri" w:hAnsi="Calibri" w:eastAsia="Calibri"/>
          <w:b w:val="0"/>
          <w:i w:val="0"/>
          <w:color w:val="05131D"/>
          <w:sz w:val="22"/>
        </w:rPr>
        <w:t>The database can store a risk score, level (for example medium), confidence, model version, contributing factors, explanations, and intervention notes (who spoke to the student and what happened). The academic portal can display at-risk students. There is no live machine-learning pipeline making automatic legal decisions today; demo data is seeded for the registrar view.</w:t>
      </w:r>
    </w:p>
    <w:p>
      <w:pPr>
        <w:spacing w:after="160" w:before="0" w:line="276" w:lineRule="auto"/>
      </w:pPr>
      <w:r>
        <w:rPr>
          <w:rFonts w:ascii="Calibri" w:hAnsi="Calibri" w:eastAsia="Calibri"/>
          <w:b w:val="0"/>
          <w:i w:val="0"/>
          <w:color w:val="05131D"/>
          <w:sz w:val="22"/>
        </w:rPr>
        <w:t>This is “profiling” under Article 3 (11°): using personal data to evaluate aspects of a person (performance, behaviour). Article 21 gives the person the right not to be subject to a decision based solely on automated processing that has legal or similarly significant effects, unless an exception applies (consent, contract, or a law with safeguards). Counsel should treat any future automatic barring, exclusion or mandatory counselling based only on a score as a high-risk design that needs extra safeguards and possibly a data-protection impact assessment (Article 38).</w:t>
      </w:r>
    </w:p>
    <w:p>
      <w:pPr>
        <w:pStyle w:val="Heading2"/>
        <w:spacing w:before="240" w:after="120"/>
      </w:pPr>
      <w:r>
        <w:rPr>
          <w:rFonts w:ascii="Calibri" w:hAnsi="Calibri"/>
          <w:color w:val="05131D"/>
        </w:rPr>
        <w:t>7.11 Messages, notices and email</w:t>
      </w:r>
    </w:p>
    <w:tbl>
      <w:tblPr>
        <w:tblW w:type="auto" w:w="0"/>
        <w:jc w:val="center"/>
        <w:tblLayout w:type="autofit"/>
        <w:tblLook w:firstColumn="1" w:firstRow="1" w:lastColumn="0" w:lastRow="0" w:noHBand="0" w:noVBand="1" w:val="04A0"/>
      </w:tblPr>
      <w:tblGrid>
        <w:gridCol w:w="3137"/>
        <w:gridCol w:w="3137"/>
        <w:gridCol w:w="3137"/>
      </w:tblGrid>
      <w:tr>
        <w:tc>
          <w:tcPr>
            <w:tcW w:type="dxa" w:w="238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Channel</w:t>
            </w:r>
          </w:p>
        </w:tc>
        <w:tc>
          <w:tcPr>
            <w:tcW w:type="dxa" w:w="4989"/>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What is stored</w:t>
            </w:r>
          </w:p>
        </w:tc>
        <w:tc>
          <w:tcPr>
            <w:tcW w:type="dxa" w:w="226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Live?</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In-app notifications</w:t>
            </w:r>
          </w:p>
        </w:tc>
        <w:tc>
          <w:tcPr>
            <w:tcW w:type="dxa" w:w="498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Title, body, category, read/unread, user id.</w:t>
            </w:r>
          </w:p>
        </w:tc>
        <w:tc>
          <w:tcPr>
            <w:tcW w:type="dxa" w:w="226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Live</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Email (Resend)</w:t>
            </w:r>
          </w:p>
        </w:tc>
        <w:tc>
          <w:tcPr>
            <w:tcW w:type="dxa" w:w="498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Transactional mail: email verification, application submitted, admission decision, welcome after accept. Resend will also hold the recipient address on its side.</w:t>
            </w:r>
          </w:p>
        </w:tc>
        <w:tc>
          <w:tcPr>
            <w:tcW w:type="dxa" w:w="226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Live when API keys are set</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SMS</w:t>
            </w:r>
          </w:p>
        </w:tc>
        <w:tc>
          <w:tcPr>
            <w:tcW w:type="dxa" w:w="498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Preference flags and a deliveries table that can store a phone number as destination.</w:t>
            </w:r>
          </w:p>
        </w:tc>
        <w:tc>
          <w:tcPr>
            <w:tcW w:type="dxa" w:w="226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Designed; no SMS provider connected in code today</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Internal messages</w:t>
            </w:r>
          </w:p>
        </w:tc>
        <w:tc>
          <w:tcPr>
            <w:tcW w:type="dxa" w:w="498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Thread participants, message body, attachment keys, read receipts.</w:t>
            </w:r>
          </w:p>
        </w:tc>
        <w:tc>
          <w:tcPr>
            <w:tcW w:type="dxa" w:w="226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Schema ready</w:t>
            </w:r>
          </w:p>
        </w:tc>
      </w:tr>
    </w:tbl>
    <w:p/>
    <w:p>
      <w:pPr>
        <w:pStyle w:val="Heading2"/>
        <w:spacing w:before="240" w:after="120"/>
      </w:pPr>
      <w:r>
        <w:rPr>
          <w:rFonts w:ascii="Calibri" w:hAnsi="Calibri"/>
          <w:color w:val="05131D"/>
        </w:rPr>
        <w:t>7.12 ICT, security and audit</w:t>
      </w:r>
    </w:p>
    <w:tbl>
      <w:tblPr>
        <w:tblW w:type="auto" w:w="0"/>
        <w:jc w:val="center"/>
        <w:tblLayout w:type="autofit"/>
        <w:tblLook w:firstColumn="1" w:firstRow="1" w:lastColumn="0" w:lastRow="0" w:noHBand="0" w:noVBand="1" w:val="04A0"/>
      </w:tblPr>
      <w:tblGrid>
        <w:gridCol w:w="4706"/>
        <w:gridCol w:w="4706"/>
      </w:tblGrid>
      <w:tr>
        <w:tc>
          <w:tcPr>
            <w:tcW w:type="dxa" w:w="255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Data</w:t>
            </w:r>
          </w:p>
        </w:tc>
        <w:tc>
          <w:tcPr>
            <w:tcW w:type="dxa" w:w="7087"/>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What is stored</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Access revocation</w:t>
            </w:r>
          </w:p>
        </w:tc>
        <w:tc>
          <w:tcPr>
            <w:tcW w:type="dxa" w:w="7087"/>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Who was locked out, reason, who did it, when, restore record.</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Audit log</w:t>
            </w:r>
          </w:p>
        </w:tc>
        <w:tc>
          <w:tcPr>
            <w:tcW w:type="dxa" w:w="7087"/>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Actor id and email, role, action (for example student.suspend, course.create), what changed (old value → new value), extra metadata, time. IP and browser columns exist but are not always filled today.</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API keys</w:t>
            </w:r>
          </w:p>
        </w:tc>
        <w:tc>
          <w:tcPr>
            <w:tcW w:type="dxa" w:w="7087"/>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Hash of a key, who created it, last used.</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Integration flags</w:t>
            </w:r>
          </w:p>
        </w:tc>
        <w:tc>
          <w:tcPr>
            <w:tcW w:type="dxa" w:w="7087"/>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Whether email or a payment channel is switched on. Secrets stay in environment variables, not in the student database.</w:t>
            </w:r>
          </w:p>
        </w:tc>
      </w:tr>
    </w:tbl>
    <w:p/>
    <w:p>
      <w:pPr>
        <w:pStyle w:val="Heading1"/>
        <w:spacing w:before="320" w:after="120"/>
      </w:pPr>
      <w:r>
        <w:rPr>
          <w:rFonts w:ascii="Calibri" w:hAnsi="Calibri"/>
          <w:color w:val="05131D"/>
        </w:rPr>
        <w:t>8. Sensitive personal data (Article 3 and Articles 10–11)</w:t>
      </w:r>
    </w:p>
    <w:p>
      <w:pPr>
        <w:spacing w:after="160" w:before="0" w:line="276" w:lineRule="auto"/>
      </w:pPr>
      <w:r>
        <w:rPr>
          <w:rFonts w:ascii="Calibri" w:hAnsi="Calibri" w:eastAsia="Calibri"/>
          <w:b w:val="0"/>
          <w:i w:val="0"/>
          <w:color w:val="05131D"/>
          <w:sz w:val="22"/>
        </w:rPr>
        <w:t>Sensitive personal data under Rwandan law is information revealing race, health status, criminal records, medical records, social origin, religious or philosophical beliefs, political opinion, genetic or biometric information, sexual life or family details. StackEDU does not collect race, religion, politics, sexual life or criminal records as dedicated fields. It does collect the following, which counsel should treat as sensitive or likely sensitive:</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192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Sensitive type (law)</w:t>
            </w:r>
          </w:p>
        </w:tc>
        <w:tc>
          <w:tcPr>
            <w:tcW w:type="dxa" w:w="260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What StackEDU holds</w:t>
            </w:r>
          </w:p>
        </w:tc>
        <w:tc>
          <w:tcPr>
            <w:tcW w:type="dxa" w:w="260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Why we hold it</w:t>
            </w:r>
          </w:p>
        </w:tc>
        <w:tc>
          <w:tcPr>
            <w:tcW w:type="dxa" w:w="2494"/>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Suggested Article 10 ground</w:t>
            </w:r>
          </w:p>
        </w:tc>
      </w:tr>
      <w:tr>
        <w:tc>
          <w:tcPr>
            <w:tcW w:type="dxa" w:w="19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Family details</w:t>
            </w:r>
          </w:p>
        </w:tc>
        <w:tc>
          <w:tcPr>
            <w:tcW w:type="dxa" w:w="260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Parent/guardian identity and contact; emergency contact; birth certificate may name parents.</w:t>
            </w:r>
          </w:p>
        </w:tc>
        <w:tc>
          <w:tcPr>
            <w:tcW w:type="dxa" w:w="260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Undergraduate admissions, welfare, contacting a responsible adult.</w:t>
            </w:r>
          </w:p>
        </w:tc>
        <w:tc>
          <w:tcPr>
            <w:tcW w:type="dxa" w:w="2494"/>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Consent; and the institution’s education duties once enrolled.</w:t>
            </w:r>
          </w:p>
        </w:tc>
      </w:tr>
      <w:tr>
        <w:tc>
          <w:tcPr>
            <w:tcW w:type="dxa" w:w="19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Health status / medical records</w:t>
            </w:r>
          </w:p>
        </w:tc>
        <w:tc>
          <w:tcPr>
            <w:tcW w:type="dxa" w:w="260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Special-needs description; medical-insurance document; optional disabilities and blood-group fields on the student profile.</w:t>
            </w:r>
          </w:p>
        </w:tc>
        <w:tc>
          <w:tcPr>
            <w:tcW w:type="dxa" w:w="260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Reasonable accommodation and (for insurance) proof often required at admission in Rwanda.</w:t>
            </w:r>
          </w:p>
        </w:tc>
        <w:tc>
          <w:tcPr>
            <w:tcW w:type="dxa" w:w="2494"/>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Consent; specific rights/obligations in education and student welfare.</w:t>
            </w:r>
          </w:p>
        </w:tc>
      </w:tr>
      <w:tr>
        <w:tc>
          <w:tcPr>
            <w:tcW w:type="dxa" w:w="19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Biometric-adjacent</w:t>
            </w:r>
          </w:p>
        </w:tc>
        <w:tc>
          <w:tcPr>
            <w:tcW w:type="dxa" w:w="260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Passport photograph (required upload). Future face or fingerprint login is not in the product.</w:t>
            </w:r>
          </w:p>
        </w:tc>
        <w:tc>
          <w:tcPr>
            <w:tcW w:type="dxa" w:w="260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Identity on the student file and ID card processes.</w:t>
            </w:r>
          </w:p>
        </w:tc>
        <w:tc>
          <w:tcPr>
            <w:tcW w:type="dxa" w:w="2494"/>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Consent; education file obligations.</w:t>
            </w:r>
          </w:p>
        </w:tc>
      </w:tr>
      <w:tr>
        <w:tc>
          <w:tcPr>
            <w:tcW w:type="dxa" w:w="19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Social origin (possible)</w:t>
            </w:r>
          </w:p>
        </w:tc>
        <w:tc>
          <w:tcPr>
            <w:tcW w:type="dxa" w:w="260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Financial-aid interest; guardian occupation and employer; previous school.</w:t>
            </w:r>
          </w:p>
        </w:tc>
        <w:tc>
          <w:tcPr>
            <w:tcW w:type="dxa" w:w="260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Admissions context and possible bursary follow-up. Not collected as “social class”.</w:t>
            </w:r>
          </w:p>
        </w:tc>
        <w:tc>
          <w:tcPr>
            <w:tcW w:type="dxa" w:w="2494"/>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Consent; contractual / education duties. Review with counsel before using for automated aid decisions.</w:t>
            </w:r>
          </w:p>
        </w:tc>
      </w:tr>
    </w:tbl>
    <w:p/>
    <w:p>
      <w:pPr>
        <w:spacing w:after="160" w:before="0" w:line="276" w:lineRule="auto"/>
      </w:pPr>
      <w:r>
        <w:rPr>
          <w:rFonts w:ascii="Calibri" w:hAnsi="Calibri" w:eastAsia="Calibri"/>
          <w:b w:val="0"/>
          <w:i w:val="0"/>
          <w:color w:val="05131D"/>
          <w:sz w:val="22"/>
        </w:rPr>
        <w:t>Article 11 extra duties for sensitive data: keep it only as long as needed; train staff who see it; restrict who can open medical and disability files; consider storing it separately and using encryption. Today, special-needs text sits inside the application’s details document, and medical-insurance files sit with other uploads. Counsel may recommend tightening access so only designated welfare staff can open health files.</w:t>
      </w:r>
    </w:p>
    <w:p>
      <w:pPr>
        <w:pStyle w:val="Heading1"/>
        <w:spacing w:before="320" w:after="120"/>
      </w:pPr>
      <w:r>
        <w:rPr>
          <w:rFonts w:ascii="Calibri" w:hAnsi="Calibri"/>
          <w:color w:val="05131D"/>
        </w:rPr>
        <w:t>9. Children under 16 (Article 9)</w:t>
      </w:r>
    </w:p>
    <w:p>
      <w:pPr>
        <w:spacing w:after="160" w:before="0" w:line="276" w:lineRule="auto"/>
      </w:pPr>
      <w:r>
        <w:rPr>
          <w:rFonts w:ascii="Calibri" w:hAnsi="Calibri" w:eastAsia="Calibri"/>
          <w:b w:val="0"/>
          <w:i w:val="0"/>
          <w:color w:val="05131D"/>
          <w:sz w:val="22"/>
        </w:rPr>
        <w:t>If we know the personal data belongs to a child under 16, we must get consent from a person with parental responsibility, and that consent must be in the child’s interest. StackEDU requires parent/guardian details for undergraduate applicants and collects date of birth, so some applicants may be under 16.</w:t>
      </w:r>
    </w:p>
    <w:p>
      <w:pPr>
        <w:spacing w:after="160" w:before="0" w:line="276" w:lineRule="auto"/>
      </w:pPr>
      <w:r>
        <w:rPr>
          <w:rFonts w:ascii="Calibri" w:hAnsi="Calibri" w:eastAsia="Calibri"/>
          <w:b w:val="0"/>
          <w:i w:val="0"/>
          <w:color w:val="05131D"/>
          <w:sz w:val="22"/>
        </w:rPr>
        <w:t>Recommended operational rule for legal to confirm:</w:t>
      </w:r>
    </w:p>
    <w:p>
      <w:pPr>
        <w:pStyle w:val="ListNumber"/>
        <w:spacing w:after="60" w:line="269" w:lineRule="auto"/>
      </w:pPr>
      <w:r>
        <w:rPr>
          <w:rFonts w:ascii="Calibri" w:hAnsi="Calibri" w:eastAsia="Calibri"/>
          <w:b w:val="0"/>
          <w:i w:val="0"/>
          <w:color w:val="05131D"/>
          <w:sz w:val="22"/>
        </w:rPr>
        <w:t>If date of birth shows the applicant is under 16, do not treat the student’s own tick as enough. Require a guardian confirmation (the guardian fields already exist).</w:t>
      </w:r>
    </w:p>
    <w:p>
      <w:pPr>
        <w:pStyle w:val="ListNumber"/>
        <w:spacing w:after="60" w:line="269" w:lineRule="auto"/>
      </w:pPr>
      <w:r>
        <w:rPr>
          <w:rFonts w:ascii="Calibri" w:hAnsi="Calibri" w:eastAsia="Calibri"/>
          <w:b w:val="0"/>
          <w:i w:val="0"/>
          <w:color w:val="05131D"/>
          <w:sz w:val="22"/>
        </w:rPr>
        <w:t>Do not use a child’s data for marketing.</w:t>
      </w:r>
    </w:p>
    <w:p>
      <w:pPr>
        <w:pStyle w:val="ListNumber"/>
        <w:spacing w:after="60" w:line="269" w:lineRule="auto"/>
      </w:pPr>
      <w:r>
        <w:rPr>
          <w:rFonts w:ascii="Calibri" w:hAnsi="Calibri" w:eastAsia="Calibri"/>
          <w:b w:val="0"/>
          <w:i w:val="0"/>
          <w:color w:val="05131D"/>
          <w:sz w:val="22"/>
        </w:rPr>
        <w:t>Keep a simple flag in procedures: “under-16 file — parental consent on record”.</w:t>
      </w:r>
    </w:p>
    <w:p>
      <w:pPr>
        <w:pStyle w:val="Heading1"/>
        <w:spacing w:before="320" w:after="120"/>
      </w:pPr>
      <w:r>
        <w:rPr>
          <w:rFonts w:ascii="Calibri" w:hAnsi="Calibri"/>
          <w:color w:val="05131D"/>
        </w:rPr>
        <w:t>10. Purposes and lawful grounds (Article 46) — for the form ticks</w:t>
      </w:r>
    </w:p>
    <w:tbl>
      <w:tblPr>
        <w:tblW w:type="auto" w:w="0"/>
        <w:jc w:val="center"/>
        <w:tblLayout w:type="autofit"/>
        <w:tblLook w:firstColumn="1" w:firstRow="1" w:lastColumn="0" w:lastRow="0" w:noHBand="0" w:noVBand="1" w:val="04A0"/>
      </w:tblPr>
      <w:tblGrid>
        <w:gridCol w:w="3137"/>
        <w:gridCol w:w="3137"/>
        <w:gridCol w:w="3137"/>
      </w:tblGrid>
      <w:tr>
        <w:tc>
          <w:tcPr>
            <w:tcW w:type="dxa" w:w="2494"/>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Purpose</w:t>
            </w:r>
          </w:p>
        </w:tc>
        <w:tc>
          <w:tcPr>
            <w:tcW w:type="dxa" w:w="306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Typical data</w:t>
            </w:r>
          </w:p>
        </w:tc>
        <w:tc>
          <w:tcPr>
            <w:tcW w:type="dxa" w:w="4082"/>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Ground to tick on the form</w:t>
            </w:r>
          </w:p>
        </w:tc>
      </w:tr>
      <w:tr>
        <w:tc>
          <w:tcPr>
            <w:tcW w:type="dxa" w:w="2494"/>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Create an account and keep the person signed in</w:t>
            </w:r>
          </w:p>
        </w:tc>
        <w:tc>
          <w:tcPr>
            <w:tcW w:type="dxa" w:w="306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Name, email, phone, password hash, session, IP</w:t>
            </w:r>
          </w:p>
        </w:tc>
        <w:tc>
          <w:tcPr>
            <w:tcW w:type="dxa" w:w="408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Contractual necessity (they asked to use the service); legitimate interest for security logs</w:t>
            </w:r>
          </w:p>
        </w:tc>
      </w:tr>
      <w:tr>
        <w:tc>
          <w:tcPr>
            <w:tcW w:type="dxa" w:w="2494"/>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Process an application for admission</w:t>
            </w:r>
          </w:p>
        </w:tc>
        <w:tc>
          <w:tcPr>
            <w:tcW w:type="dxa" w:w="306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Full application, documents, fee</w:t>
            </w:r>
          </w:p>
        </w:tc>
        <w:tc>
          <w:tcPr>
            <w:tcW w:type="dxa" w:w="408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Contractual necessity (steps before a student contract); consent for optional/sensitive parts</w:t>
            </w:r>
          </w:p>
        </w:tc>
      </w:tr>
      <w:tr>
        <w:tc>
          <w:tcPr>
            <w:tcW w:type="dxa" w:w="2494"/>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Decide admission and issue an offer</w:t>
            </w:r>
          </w:p>
        </w:tc>
        <w:tc>
          <w:tcPr>
            <w:tcW w:type="dxa" w:w="306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Reviews, status, offer letter</w:t>
            </w:r>
          </w:p>
        </w:tc>
        <w:tc>
          <w:tcPr>
            <w:tcW w:type="dxa" w:w="408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Contractual necessity; public interest / official authority if the client is a public university</w:t>
            </w:r>
          </w:p>
        </w:tc>
      </w:tr>
      <w:tr>
        <w:tc>
          <w:tcPr>
            <w:tcW w:type="dxa" w:w="2494"/>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Keep the student academic record</w:t>
            </w:r>
          </w:p>
        </w:tc>
        <w:tc>
          <w:tcPr>
            <w:tcW w:type="dxa" w:w="306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Enrolment, courses, attendance, results, transcript</w:t>
            </w:r>
          </w:p>
        </w:tc>
        <w:tc>
          <w:tcPr>
            <w:tcW w:type="dxa" w:w="408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Contractual necessity; legal obligation where education regulations require a file</w:t>
            </w:r>
          </w:p>
        </w:tc>
      </w:tr>
      <w:tr>
        <w:tc>
          <w:tcPr>
            <w:tcW w:type="dxa" w:w="2494"/>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Collect and receipt fees</w:t>
            </w:r>
          </w:p>
        </w:tc>
        <w:tc>
          <w:tcPr>
            <w:tcW w:type="dxa" w:w="306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Invoices, payments, payer phone, receipts</w:t>
            </w:r>
          </w:p>
        </w:tc>
        <w:tc>
          <w:tcPr>
            <w:tcW w:type="dxa" w:w="408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Contractual necessity</w:t>
            </w:r>
          </w:p>
        </w:tc>
      </w:tr>
      <w:tr>
        <w:tc>
          <w:tcPr>
            <w:tcW w:type="dxa" w:w="2494"/>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Contact the person (email, in-app)</w:t>
            </w:r>
          </w:p>
        </w:tc>
        <w:tc>
          <w:tcPr>
            <w:tcW w:type="dxa" w:w="306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Email, notification content</w:t>
            </w:r>
          </w:p>
        </w:tc>
        <w:tc>
          <w:tcPr>
            <w:tcW w:type="dxa" w:w="408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Contractual necessity for service messages; consent for optional marketing</w:t>
            </w:r>
          </w:p>
        </w:tc>
      </w:tr>
      <w:tr>
        <w:tc>
          <w:tcPr>
            <w:tcW w:type="dxa" w:w="2494"/>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Protect the system (audit, revocation, login attempts)</w:t>
            </w:r>
          </w:p>
        </w:tc>
        <w:tc>
          <w:tcPr>
            <w:tcW w:type="dxa" w:w="306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Actor, IP, actions, reasons</w:t>
            </w:r>
          </w:p>
        </w:tc>
        <w:tc>
          <w:tcPr>
            <w:tcW w:type="dxa" w:w="408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Legitimate interest; legal obligation for security where applicable</w:t>
            </w:r>
          </w:p>
        </w:tc>
      </w:tr>
      <w:tr>
        <w:tc>
          <w:tcPr>
            <w:tcW w:type="dxa" w:w="2494"/>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Identify students who may need support (at-risk)</w:t>
            </w:r>
          </w:p>
        </w:tc>
        <w:tc>
          <w:tcPr>
            <w:tcW w:type="dxa" w:w="306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Grades, attendance, risk score</w:t>
            </w:r>
          </w:p>
        </w:tc>
        <w:tc>
          <w:tcPr>
            <w:tcW w:type="dxa" w:w="408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Legitimate interest of the institution in student success; do not rely on automated decisions without Article 21 safeguards</w:t>
            </w:r>
          </w:p>
        </w:tc>
      </w:tr>
      <w:tr>
        <w:tc>
          <w:tcPr>
            <w:tcW w:type="dxa" w:w="2494"/>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Library access control and usage</w:t>
            </w:r>
          </w:p>
        </w:tc>
        <w:tc>
          <w:tcPr>
            <w:tcW w:type="dxa" w:w="306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User id, downloads</w:t>
            </w:r>
          </w:p>
        </w:tc>
        <w:tc>
          <w:tcPr>
            <w:tcW w:type="dxa" w:w="408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Contractual necessity</w:t>
            </w:r>
          </w:p>
        </w:tc>
      </w:tr>
      <w:tr>
        <w:tc>
          <w:tcPr>
            <w:tcW w:type="dxa" w:w="2494"/>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Platform routing and billing</w:t>
            </w:r>
          </w:p>
        </w:tc>
        <w:tc>
          <w:tcPr>
            <w:tcW w:type="dxa" w:w="306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Email directory, student counts</w:t>
            </w:r>
          </w:p>
        </w:tc>
        <w:tc>
          <w:tcPr>
            <w:tcW w:type="dxa" w:w="408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Contractual necessity with the institution; legitimate interest in running the SaaS</w:t>
            </w:r>
          </w:p>
        </w:tc>
      </w:tr>
    </w:tbl>
    <w:p/>
    <w:p>
      <w:pPr>
        <w:spacing w:after="160" w:before="0" w:line="276" w:lineRule="auto"/>
      </w:pPr>
      <w:r>
        <w:rPr>
          <w:rFonts w:ascii="Calibri" w:hAnsi="Calibri" w:eastAsia="Calibri"/>
          <w:b w:val="0"/>
          <w:i w:val="0"/>
          <w:color w:val="05131D"/>
          <w:sz w:val="22"/>
        </w:rPr>
        <w:t>Consent (Articles 6–8) must be freely given, specific, informed, and as easy to withdraw as to give. Withdrawal does not undo lawful processing already done. Service messages that are required to run admissions should not be hidden behind a marketing-consent tick.</w:t>
      </w:r>
    </w:p>
    <w:p>
      <w:pPr>
        <w:pStyle w:val="Heading1"/>
        <w:spacing w:before="320" w:after="120"/>
      </w:pPr>
      <w:r>
        <w:rPr>
          <w:rFonts w:ascii="Calibri" w:hAnsi="Calibri"/>
          <w:color w:val="05131D"/>
        </w:rPr>
        <w:t>11. Recipients and sub-processors (who else can see data)</w:t>
      </w:r>
    </w:p>
    <w:p>
      <w:pPr>
        <w:spacing w:after="160" w:before="0" w:line="276" w:lineRule="auto"/>
      </w:pPr>
      <w:r>
        <w:rPr>
          <w:rFonts w:ascii="Calibri" w:hAnsi="Calibri" w:eastAsia="Calibri"/>
          <w:b w:val="0"/>
          <w:i w:val="0"/>
          <w:color w:val="05131D"/>
          <w:sz w:val="22"/>
        </w:rPr>
        <w:t>Inside an institution, access is limited by role. A bursar should not see exam marks; an academic admin should not see payment gateway payloads. That separation is a product rule and should stay that way.</w:t>
      </w:r>
    </w:p>
    <w:p>
      <w:pPr>
        <w:pStyle w:val="Heading2"/>
        <w:spacing w:before="240" w:after="120"/>
      </w:pPr>
      <w:r>
        <w:rPr>
          <w:rFonts w:ascii="Calibri" w:hAnsi="Calibri"/>
          <w:color w:val="05131D"/>
        </w:rPr>
        <w:t>11.1 People inside the client institution</w:t>
      </w:r>
    </w:p>
    <w:tbl>
      <w:tblPr>
        <w:tblW w:type="auto" w:w="0"/>
        <w:jc w:val="center"/>
        <w:tblLayout w:type="autofit"/>
        <w:tblLook w:firstColumn="1" w:firstRow="1" w:lastColumn="0" w:lastRow="0" w:noHBand="0" w:noVBand="1" w:val="04A0"/>
      </w:tblPr>
      <w:tblGrid>
        <w:gridCol w:w="4706"/>
        <w:gridCol w:w="4706"/>
      </w:tblGrid>
      <w:tr>
        <w:tc>
          <w:tcPr>
            <w:tcW w:type="dxa" w:w="311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Recipient</w:t>
            </w:r>
          </w:p>
        </w:tc>
        <w:tc>
          <w:tcPr>
            <w:tcW w:type="dxa" w:w="652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What they can see (by design)</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Academic Admin / Registrar</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Applications, student registry, courses, calendar, results approval, at-risk list, enrolment status changes.</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Lecturer</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Their courses, attendance, assessments, results they enter.</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Bursar</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Fee accounts, invoices, payments, receipts (not academic results).</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Librarian</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Library catalogue, requests, access analytics (not full student academic file).</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ICT Manager</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User accounts, access rights, audit log, branding, integration on/off — not a substitute for the registrar.</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The student / applicant</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Their own application, offer, student record, results once published, own fees.</w:t>
            </w:r>
          </w:p>
        </w:tc>
      </w:tr>
    </w:tbl>
    <w:p/>
    <w:p>
      <w:pPr>
        <w:pStyle w:val="Heading2"/>
        <w:spacing w:before="240" w:after="120"/>
      </w:pPr>
      <w:r>
        <w:rPr>
          <w:rFonts w:ascii="Calibri" w:hAnsi="Calibri"/>
          <w:color w:val="05131D"/>
        </w:rPr>
        <w:t>11.2 Organisations outside the institution (sub-processors / recipients)</w:t>
      </w:r>
    </w:p>
    <w:p>
      <w:pPr>
        <w:spacing w:after="160" w:before="0" w:line="276" w:lineRule="auto"/>
      </w:pPr>
      <w:r>
        <w:rPr>
          <w:rFonts w:ascii="Calibri" w:hAnsi="Calibri" w:eastAsia="Calibri"/>
          <w:b w:val="0"/>
          <w:i w:val="0"/>
          <w:color w:val="05131D"/>
          <w:sz w:val="22"/>
        </w:rPr>
        <w:t>These are the technical providers the platform is built to use. Legal should put each live provider on the Controller form Section 4 and on the transfer list, and hold a written contract (Article 4 and Article 49).</w:t>
      </w:r>
    </w:p>
    <w:tbl>
      <w:tblPr>
        <w:tblW w:type="auto" w:w="0"/>
        <w:jc w:val="center"/>
        <w:tblLayout w:type="autofit"/>
        <w:tblLook w:firstColumn="1" w:firstRow="1" w:lastColumn="0" w:lastRow="0" w:noHBand="0" w:noVBand="1" w:val="04A0"/>
      </w:tblPr>
      <w:tblGrid>
        <w:gridCol w:w="3137"/>
        <w:gridCol w:w="3137"/>
        <w:gridCol w:w="3137"/>
      </w:tblGrid>
      <w:tr>
        <w:tc>
          <w:tcPr>
            <w:tcW w:type="dxa" w:w="294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Provider / role</w:t>
            </w:r>
          </w:p>
        </w:tc>
        <w:tc>
          <w:tcPr>
            <w:tcW w:type="dxa" w:w="362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What they process</w:t>
            </w:r>
          </w:p>
        </w:tc>
        <w:tc>
          <w:tcPr>
            <w:tcW w:type="dxa" w:w="306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Where (as designed)</w:t>
            </w:r>
          </w:p>
        </w:tc>
      </w:tr>
      <w:tr>
        <w:tc>
          <w:tcPr>
            <w:tcW w:type="dxa" w:w="294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StackForgeAI (platform operator)</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Hosts the app and databases; sees data as needed to run and support the service.</w:t>
            </w:r>
          </w:p>
        </w:tc>
        <w:tc>
          <w:tcPr>
            <w:tcW w:type="dxa" w:w="306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See Section 12</w:t>
            </w:r>
          </w:p>
        </w:tc>
      </w:tr>
      <w:tr>
        <w:tc>
          <w:tcPr>
            <w:tcW w:type="dxa" w:w="294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Web hosting (Vercel)</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Delivers the web application. May process IP addresses and request logs. Does not hold the student database.</w:t>
            </w:r>
          </w:p>
        </w:tc>
        <w:tc>
          <w:tcPr>
            <w:tcW w:type="dxa" w:w="306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Vercel’s infrastructure (outside Rwanda)</w:t>
            </w:r>
          </w:p>
        </w:tc>
      </w:tr>
      <w:tr>
        <w:tc>
          <w:tcPr>
            <w:tcW w:type="dxa" w:w="294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API hosting (Render)</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Runs the API in Frankfurt. Application memory may contain personal data while requests are handled. Logs may include IPs and URLs.</w:t>
            </w:r>
          </w:p>
        </w:tc>
        <w:tc>
          <w:tcPr>
            <w:tcW w:type="dxa" w:w="306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Frankfurt, Germany</w:t>
            </w:r>
          </w:p>
        </w:tc>
      </w:tr>
      <w:tr>
        <w:tc>
          <w:tcPr>
            <w:tcW w:type="dxa" w:w="294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Postgres database host (Neon or other managed Postgres)</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Stores all structured personal data (platform + each institution database).</w:t>
            </w:r>
          </w:p>
        </w:tc>
        <w:tc>
          <w:tcPr>
            <w:tcW w:type="dxa" w:w="306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Intended with the API in Frankfurt / eu-central-1 — confirm the live project region</w:t>
            </w:r>
          </w:p>
        </w:tc>
      </w:tr>
      <w:tr>
        <w:tc>
          <w:tcPr>
            <w:tcW w:type="dxa" w:w="294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Cloudflare R2</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Stores uploaded files: ID copies, photos, certificates, medical insurance, later transcripts and receipts.</w:t>
            </w:r>
          </w:p>
        </w:tc>
        <w:tc>
          <w:tcPr>
            <w:tcW w:type="dxa" w:w="306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Cloudflare object storage (confirm bucket region)</w:t>
            </w:r>
          </w:p>
        </w:tc>
      </w:tr>
      <w:tr>
        <w:tc>
          <w:tcPr>
            <w:tcW w:type="dxa" w:w="294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Resend</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Sends verification and admissions emails; holds recipient email and message content on their side.</w:t>
            </w:r>
          </w:p>
        </w:tc>
        <w:tc>
          <w:tcPr>
            <w:tcW w:type="dxa" w:w="306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Resend’s infrastructure (outside Rwanda)</w:t>
            </w:r>
          </w:p>
        </w:tc>
      </w:tr>
      <w:tr>
        <w:tc>
          <w:tcPr>
            <w:tcW w:type="dxa" w:w="294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MTN Mobile Money</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Application and tuition payments; MSISDN and transaction result.</w:t>
            </w:r>
          </w:p>
        </w:tc>
        <w:tc>
          <w:tcPr>
            <w:tcW w:type="dxa" w:w="306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Rwanda (telco) plus any MTN processing locations they use</w:t>
            </w:r>
          </w:p>
        </w:tc>
      </w:tr>
      <w:tr>
        <w:tc>
          <w:tcPr>
            <w:tcW w:type="dxa" w:w="294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Airtel Money</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Same as MoMo for Airtel payers.</w:t>
            </w:r>
          </w:p>
        </w:tc>
        <w:tc>
          <w:tcPr>
            <w:tcW w:type="dxa" w:w="306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Rwanda (telco) plus Airtel processing locations</w:t>
            </w:r>
          </w:p>
        </w:tc>
      </w:tr>
      <w:tr>
        <w:tc>
          <w:tcPr>
            <w:tcW w:type="dxa" w:w="294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Card gateway (DPO Pay) — planned</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Card payments when live.</w:t>
            </w:r>
          </w:p>
        </w:tc>
        <w:tc>
          <w:tcPr>
            <w:tcW w:type="dxa" w:w="306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To be confirmed before go-live</w:t>
            </w:r>
          </w:p>
        </w:tc>
      </w:tr>
      <w:tr>
        <w:tc>
          <w:tcPr>
            <w:tcW w:type="dxa" w:w="294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SMS provider (Pindo / Africa’s Talking) — planned</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Fee reminders and similar SMS when live.</w:t>
            </w:r>
          </w:p>
        </w:tc>
        <w:tc>
          <w:tcPr>
            <w:tcW w:type="dxa" w:w="306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To be confirmed before go-live</w:t>
            </w:r>
          </w:p>
        </w:tc>
      </w:tr>
      <w:tr>
        <w:tc>
          <w:tcPr>
            <w:tcW w:type="dxa" w:w="294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Regulators (on request or by law)</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NCSA, education authorities, tax or financial-intelligence bodies where the law requires.</w:t>
            </w:r>
          </w:p>
        </w:tc>
        <w:tc>
          <w:tcPr>
            <w:tcW w:type="dxa" w:w="306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Rwanda</w:t>
            </w:r>
          </w:p>
        </w:tc>
      </w:tr>
    </w:tbl>
    <w:p/>
    <w:p>
      <w:pPr>
        <w:spacing w:after="160" w:before="0" w:line="276" w:lineRule="auto"/>
      </w:pPr>
      <w:r>
        <w:rPr>
          <w:rFonts w:ascii="Calibri" w:hAnsi="Calibri" w:eastAsia="Calibri"/>
          <w:b/>
          <w:i w:val="0"/>
          <w:color w:val="05131D"/>
          <w:sz w:val="22"/>
        </w:rPr>
        <w:t>StackEDU does not sell personal data. Selling personal data contrary to the law is a criminal offence (Article 59).</w:t>
      </w:r>
    </w:p>
    <w:p>
      <w:pPr>
        <w:pStyle w:val="Heading1"/>
        <w:spacing w:before="320" w:after="120"/>
      </w:pPr>
      <w:r>
        <w:rPr>
          <w:rFonts w:ascii="Calibri" w:hAnsi="Calibri"/>
          <w:color w:val="05131D"/>
        </w:rPr>
        <w:t>12. Setup architecture (how the system is built)</w:t>
      </w:r>
    </w:p>
    <w:p>
      <w:pPr>
        <w:pStyle w:val="Heading2"/>
        <w:spacing w:before="240" w:after="120"/>
      </w:pPr>
      <w:r>
        <w:rPr>
          <w:rFonts w:ascii="Calibri" w:hAnsi="Calibri"/>
          <w:color w:val="05131D"/>
        </w:rPr>
        <w:t>12.1 Picture in one paragraph</w:t>
      </w:r>
    </w:p>
    <w:p>
      <w:pPr>
        <w:spacing w:after="160" w:before="0" w:line="276" w:lineRule="auto"/>
      </w:pPr>
      <w:r>
        <w:rPr>
          <w:rFonts w:ascii="Calibri" w:hAnsi="Calibri" w:eastAsia="Calibri"/>
          <w:b w:val="0"/>
          <w:i w:val="0"/>
          <w:color w:val="05131D"/>
          <w:sz w:val="22"/>
        </w:rPr>
        <w:t>A person opens app.stackedu.rw in a browser. That front end talks to api.stackedu.rw. The API first looks at a small shared (platform) database to see which school the email belongs to. It then opens that school’s own Postgres database. Files (ID scans, photos) go into object storage, not into the database. Emails go out through Resend. The person stays signed in with a secure cookie shared across app.stackedu.rw and api.stackedu.rw.</w:t>
      </w:r>
    </w:p>
    <w:p>
      <w:pPr>
        <w:pStyle w:val="Heading2"/>
        <w:spacing w:before="240" w:after="120"/>
      </w:pPr>
      <w:r>
        <w:rPr>
          <w:rFonts w:ascii="Calibri" w:hAnsi="Calibri"/>
          <w:color w:val="05131D"/>
        </w:rPr>
        <w:t>12.2 One database per institution</w:t>
      </w:r>
    </w:p>
    <w:p>
      <w:pPr>
        <w:spacing w:after="160" w:before="0" w:line="276" w:lineRule="auto"/>
      </w:pPr>
      <w:r>
        <w:rPr>
          <w:rFonts w:ascii="Calibri" w:hAnsi="Calibri" w:eastAsia="Calibri"/>
          <w:b w:val="0"/>
          <w:i w:val="0"/>
          <w:color w:val="05131D"/>
          <w:sz w:val="22"/>
        </w:rPr>
        <w:t>This is the most important privacy design choice in StackEDU. Each institution has its own Postgres database. Student names, marks and payments for School A are not stored in School B’s database. There is no institution_id column inside those tables: every row already belongs to that school by being in that database.</w:t>
      </w:r>
    </w:p>
    <w:p>
      <w:pPr>
        <w:spacing w:after="160" w:before="0" w:line="276" w:lineRule="auto"/>
      </w:pPr>
      <w:r>
        <w:rPr>
          <w:rFonts w:ascii="Calibri" w:hAnsi="Calibri" w:eastAsia="Calibri"/>
          <w:b w:val="0"/>
          <w:i w:val="0"/>
          <w:color w:val="05131D"/>
          <w:sz w:val="22"/>
        </w:rPr>
        <w:t>The shared platform database holds only:</w:t>
      </w:r>
    </w:p>
    <w:p>
      <w:pPr>
        <w:pStyle w:val="ListBullet"/>
        <w:spacing w:after="60" w:line="269" w:lineRule="auto"/>
      </w:pPr>
      <w:r>
        <w:rPr>
          <w:rFonts w:ascii="Calibri" w:hAnsi="Calibri" w:eastAsia="Calibri"/>
          <w:b w:val="0"/>
          <w:i w:val="0"/>
          <w:color w:val="05131D"/>
          <w:sz w:val="22"/>
        </w:rPr>
        <w:t>The list of institutions (name, contact email, logo, status).</w:t>
      </w:r>
    </w:p>
    <w:p>
      <w:pPr>
        <w:pStyle w:val="ListBullet"/>
        <w:spacing w:after="60" w:line="269" w:lineRule="auto"/>
      </w:pPr>
      <w:r>
        <w:rPr>
          <w:rFonts w:ascii="Calibri" w:hAnsi="Calibri" w:eastAsia="Calibri"/>
          <w:b w:val="0"/>
          <w:i w:val="0"/>
          <w:color w:val="05131D"/>
          <w:sz w:val="22"/>
        </w:rPr>
        <w:t>How to connect to each institution database (connection string, stored as a secret).</w:t>
      </w:r>
    </w:p>
    <w:p>
      <w:pPr>
        <w:pStyle w:val="ListBullet"/>
        <w:spacing w:after="60" w:line="269" w:lineRule="auto"/>
      </w:pPr>
      <w:r>
        <w:rPr>
          <w:rFonts w:ascii="Calibri" w:hAnsi="Calibri" w:eastAsia="Calibri"/>
          <w:b w:val="0"/>
          <w:i w:val="0"/>
          <w:color w:val="05131D"/>
          <w:sz w:val="22"/>
        </w:rPr>
        <w:t>The login directory (email or student number → which school).</w:t>
      </w:r>
    </w:p>
    <w:p>
      <w:pPr>
        <w:pStyle w:val="ListBullet"/>
        <w:spacing w:after="60" w:line="269" w:lineRule="auto"/>
      </w:pPr>
      <w:r>
        <w:rPr>
          <w:rFonts w:ascii="Calibri" w:hAnsi="Calibri" w:eastAsia="Calibri"/>
          <w:b w:val="0"/>
          <w:i w:val="0"/>
          <w:color w:val="05131D"/>
          <w:sz w:val="22"/>
        </w:rPr>
        <w:t>Login-attempt logs, platform staff, platform audit, billing of the school.</w:t>
      </w:r>
    </w:p>
    <w:p>
      <w:pPr>
        <w:spacing w:after="160" w:before="0" w:line="276" w:lineRule="auto"/>
      </w:pPr>
      <w:r>
        <w:rPr>
          <w:rFonts w:ascii="Calibri" w:hAnsi="Calibri" w:eastAsia="Calibri"/>
          <w:b w:val="0"/>
          <w:i w:val="0"/>
          <w:color w:val="05131D"/>
          <w:sz w:val="22"/>
        </w:rPr>
        <w:t>This reduces the harm of a backup leak or a restore mistake: a restore is scoped to one school. It also supports tenancy isolation tests in the product.</w:t>
      </w:r>
    </w:p>
    <w:p>
      <w:pPr>
        <w:pStyle w:val="Heading2"/>
        <w:spacing w:before="240" w:after="120"/>
      </w:pPr>
      <w:r>
        <w:rPr>
          <w:rFonts w:ascii="Calibri" w:hAnsi="Calibri"/>
          <w:color w:val="05131D"/>
        </w:rPr>
        <w:t>12.3 Hosting map (production as designed)</w:t>
      </w:r>
    </w:p>
    <w:tbl>
      <w:tblPr>
        <w:tblW w:type="auto" w:w="0"/>
        <w:jc w:val="center"/>
        <w:tblLayout w:type="autofit"/>
        <w:tblLook w:firstColumn="1" w:firstRow="1" w:lastColumn="0" w:lastRow="0" w:noHBand="0" w:noVBand="1" w:val="04A0"/>
      </w:tblPr>
      <w:tblGrid>
        <w:gridCol w:w="3137"/>
        <w:gridCol w:w="3137"/>
        <w:gridCol w:w="3137"/>
      </w:tblGrid>
      <w:tr>
        <w:tc>
          <w:tcPr>
            <w:tcW w:type="dxa" w:w="255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Piece</w:t>
            </w:r>
          </w:p>
        </w:tc>
        <w:tc>
          <w:tcPr>
            <w:tcW w:type="dxa" w:w="3402"/>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Technology</w:t>
            </w:r>
          </w:p>
        </w:tc>
        <w:tc>
          <w:tcPr>
            <w:tcW w:type="dxa" w:w="3685"/>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Where it runs</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Web application</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React, hosted on Vercel</w:t>
            </w:r>
          </w:p>
        </w:tc>
        <w:tc>
          <w:tcPr>
            <w:tcW w:type="dxa" w:w="368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app.stackedu.rw / app.stackedu.africa</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API</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Hono/Node, hosted on Render</w:t>
            </w:r>
          </w:p>
        </w:tc>
        <w:tc>
          <w:tcPr>
            <w:tcW w:type="dxa" w:w="368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api.stackedu.rw — region Frankfurt</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Platform + institution databases</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PostgreSQL (with pgvector for library search)</w:t>
            </w:r>
          </w:p>
        </w:tc>
        <w:tc>
          <w:tcPr>
            <w:tcW w:type="dxa" w:w="368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Managed Postgres; design target Frankfurt / eu-central-1</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Uploaded files</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Cloudflare R2 (production) or local disk (development)</w:t>
            </w:r>
          </w:p>
        </w:tc>
        <w:tc>
          <w:tcPr>
            <w:tcW w:type="dxa" w:w="368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R2 bucket stackedu-uploads (name in config)</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Email</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Resend</w:t>
            </w:r>
          </w:p>
        </w:tc>
        <w:tc>
          <w:tcPr>
            <w:tcW w:type="dxa" w:w="368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Transactional email provider</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Cache (declared)</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Render Key Value</w:t>
            </w:r>
          </w:p>
        </w:tc>
        <w:tc>
          <w:tcPr>
            <w:tcW w:type="dxa" w:w="368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Frankfurt — reserved for rate limiting; not yet used in application code</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Local development</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Docker Postgres on the developer’s machine</w:t>
            </w:r>
          </w:p>
        </w:tc>
        <w:tc>
          <w:tcPr>
            <w:tcW w:type="dxa" w:w="368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Not production data</w:t>
            </w:r>
          </w:p>
        </w:tc>
      </w:tr>
    </w:tbl>
    <w:p/>
    <w:p>
      <w:pPr>
        <w:pStyle w:val="Heading2"/>
        <w:spacing w:before="240" w:after="120"/>
      </w:pPr>
      <w:r>
        <w:rPr>
          <w:rFonts w:ascii="Calibri" w:hAnsi="Calibri"/>
          <w:color w:val="05131D"/>
        </w:rPr>
        <w:t>12.4 Security measures already in the product</w:t>
      </w:r>
    </w:p>
    <w:p>
      <w:pPr>
        <w:pStyle w:val="ListBullet"/>
        <w:spacing w:after="60" w:line="269" w:lineRule="auto"/>
      </w:pPr>
      <w:r>
        <w:rPr>
          <w:rFonts w:ascii="Calibri" w:hAnsi="Calibri" w:eastAsia="Calibri"/>
          <w:b w:val="0"/>
          <w:i w:val="0"/>
          <w:color w:val="05131D"/>
          <w:sz w:val="22"/>
        </w:rPr>
        <w:t>Passwords stored as hashes, not as readable passwords.</w:t>
      </w:r>
    </w:p>
    <w:p>
      <w:pPr>
        <w:pStyle w:val="ListBullet"/>
        <w:spacing w:after="60" w:line="269" w:lineRule="auto"/>
      </w:pPr>
      <w:r>
        <w:rPr>
          <w:rFonts w:ascii="Calibri" w:hAnsi="Calibri" w:eastAsia="Calibri"/>
          <w:b w:val="0"/>
          <w:i w:val="0"/>
          <w:color w:val="05131D"/>
          <w:sz w:val="22"/>
        </w:rPr>
        <w:t>Email verification codes stored as hashes.</w:t>
      </w:r>
    </w:p>
    <w:p>
      <w:pPr>
        <w:pStyle w:val="ListBullet"/>
        <w:spacing w:after="60" w:line="269" w:lineRule="auto"/>
      </w:pPr>
      <w:r>
        <w:rPr>
          <w:rFonts w:ascii="Calibri" w:hAnsi="Calibri" w:eastAsia="Calibri"/>
          <w:b w:val="0"/>
          <w:i w:val="0"/>
          <w:color w:val="05131D"/>
          <w:sz w:val="22"/>
        </w:rPr>
        <w:t>HttpOnly session cookies; exact allowed browser origins (no wildcard); production cookie domain .stackedu.rw.</w:t>
      </w:r>
    </w:p>
    <w:p>
      <w:pPr>
        <w:pStyle w:val="ListBullet"/>
        <w:spacing w:after="60" w:line="269" w:lineRule="auto"/>
      </w:pPr>
      <w:r>
        <w:rPr>
          <w:rFonts w:ascii="Calibri" w:hAnsi="Calibri" w:eastAsia="Calibri"/>
          <w:b w:val="0"/>
          <w:i w:val="0"/>
          <w:color w:val="05131D"/>
          <w:sz w:val="22"/>
        </w:rPr>
        <w:t>Role-based access: Academic Admin, Student, Lecturer, Bursar, Librarian, ICT, Applicant.</w:t>
      </w:r>
    </w:p>
    <w:p>
      <w:pPr>
        <w:pStyle w:val="ListBullet"/>
        <w:spacing w:after="60" w:line="269" w:lineRule="auto"/>
      </w:pPr>
      <w:r>
        <w:rPr>
          <w:rFonts w:ascii="Calibri" w:hAnsi="Calibri" w:eastAsia="Calibri"/>
          <w:b w:val="0"/>
          <w:i w:val="0"/>
          <w:color w:val="05131D"/>
          <w:sz w:val="22"/>
        </w:rPr>
        <w:t>File downloads use signed URLs; files are not published as open internet links.</w:t>
      </w:r>
    </w:p>
    <w:p>
      <w:pPr>
        <w:pStyle w:val="ListBullet"/>
        <w:spacing w:after="60" w:line="269" w:lineRule="auto"/>
      </w:pPr>
      <w:r>
        <w:rPr>
          <w:rFonts w:ascii="Calibri" w:hAnsi="Calibri" w:eastAsia="Calibri"/>
          <w:b w:val="0"/>
          <w:i w:val="0"/>
          <w:color w:val="05131D"/>
          <w:sz w:val="22"/>
        </w:rPr>
        <w:t>Audit trail for important actions (create course, change enrolment status, approve results, and similar).</w:t>
      </w:r>
    </w:p>
    <w:p>
      <w:pPr>
        <w:pStyle w:val="ListBullet"/>
        <w:spacing w:after="60" w:line="269" w:lineRule="auto"/>
      </w:pPr>
      <w:r>
        <w:rPr>
          <w:rFonts w:ascii="Calibri" w:hAnsi="Calibri" w:eastAsia="Calibri"/>
          <w:b w:val="0"/>
          <w:i w:val="0"/>
          <w:color w:val="05131D"/>
          <w:sz w:val="22"/>
        </w:rPr>
        <w:t>Optional two-factor authentication (TOTP) for staff accounts.</w:t>
      </w:r>
    </w:p>
    <w:p>
      <w:pPr>
        <w:pStyle w:val="ListBullet"/>
        <w:spacing w:after="60" w:line="269" w:lineRule="auto"/>
      </w:pPr>
      <w:r>
        <w:rPr>
          <w:rFonts w:ascii="Calibri" w:hAnsi="Calibri" w:eastAsia="Calibri"/>
          <w:b w:val="0"/>
          <w:i w:val="0"/>
          <w:color w:val="05131D"/>
          <w:sz w:val="22"/>
        </w:rPr>
        <w:t>ICT can revoke a user’s access with a mandatory reason; sessions end.</w:t>
      </w:r>
    </w:p>
    <w:p>
      <w:pPr>
        <w:pStyle w:val="ListBullet"/>
        <w:spacing w:after="60" w:line="269" w:lineRule="auto"/>
      </w:pPr>
      <w:r>
        <w:rPr>
          <w:rFonts w:ascii="Calibri" w:hAnsi="Calibri" w:eastAsia="Calibri"/>
          <w:b w:val="0"/>
          <w:i w:val="0"/>
          <w:color w:val="05131D"/>
          <w:sz w:val="22"/>
        </w:rPr>
        <w:t>TLS in production (HTTPS on app and API).</w:t>
      </w:r>
    </w:p>
    <w:p>
      <w:pPr>
        <w:pStyle w:val="ListBullet"/>
        <w:spacing w:after="60" w:line="269" w:lineRule="auto"/>
      </w:pPr>
      <w:r>
        <w:rPr>
          <w:rFonts w:ascii="Calibri" w:hAnsi="Calibri" w:eastAsia="Calibri"/>
          <w:b w:val="0"/>
          <w:i w:val="0"/>
          <w:color w:val="05131D"/>
          <w:sz w:val="22"/>
        </w:rPr>
        <w:t>Institution databases reached through a connection pool per tenant, not one mixed table of all schools.</w:t>
      </w:r>
    </w:p>
    <w:p>
      <w:pPr>
        <w:pStyle w:val="Heading2"/>
        <w:spacing w:before="240" w:after="120"/>
      </w:pPr>
      <w:r>
        <w:rPr>
          <w:rFonts w:ascii="Calibri" w:hAnsi="Calibri"/>
          <w:color w:val="05131D"/>
        </w:rPr>
        <w:t>12.5 Article 50 — storage in Rwanda (critical for counsel)</w:t>
      </w:r>
    </w:p>
    <w:p>
      <w:pPr>
        <w:spacing w:after="160" w:before="0" w:line="276" w:lineRule="auto"/>
      </w:pPr>
      <w:r>
        <w:rPr>
          <w:rFonts w:ascii="Calibri" w:hAnsi="Calibri" w:eastAsia="Calibri"/>
          <w:b w:val="0"/>
          <w:i w:val="0"/>
          <w:color w:val="05131D"/>
          <w:sz w:val="22"/>
        </w:rPr>
        <w:t>Article 50 says the controller or processor stores personal data in Rwanda, unless NCSA has issued a registration certificate that specifically authorises storage outside Rwanda. The current production design places the API in Frankfurt and uses international SaaS for the website, files and email. That is a cross-border storage and transfer issue, not a small technical detail.</w:t>
      </w:r>
    </w:p>
    <w:p>
      <w:pPr>
        <w:spacing w:after="160" w:before="0" w:line="276" w:lineRule="auto"/>
      </w:pPr>
      <w:r>
        <w:rPr>
          <w:rFonts w:ascii="Calibri" w:hAnsi="Calibri" w:eastAsia="Calibri"/>
          <w:b w:val="0"/>
          <w:i w:val="0"/>
          <w:color w:val="05131D"/>
          <w:sz w:val="22"/>
        </w:rPr>
        <w:t>Counsel should treat these as parallel workstreams:</w:t>
      </w:r>
    </w:p>
    <w:p>
      <w:pPr>
        <w:pStyle w:val="ListNumber"/>
        <w:spacing w:after="60" w:line="269" w:lineRule="auto"/>
      </w:pPr>
      <w:r>
        <w:rPr>
          <w:rFonts w:ascii="Calibri" w:hAnsi="Calibri" w:eastAsia="Calibri"/>
          <w:b w:val="0"/>
          <w:i w:val="0"/>
          <w:color w:val="05131D"/>
          <w:sz w:val="22"/>
        </w:rPr>
        <w:t>File the Controller and Processor registrations and, on those forms, list the foreign countries involved.</w:t>
      </w:r>
    </w:p>
    <w:p>
      <w:pPr>
        <w:pStyle w:val="ListNumber"/>
        <w:spacing w:after="60" w:line="269" w:lineRule="auto"/>
      </w:pPr>
      <w:r>
        <w:rPr>
          <w:rFonts w:ascii="Calibri" w:hAnsi="Calibri" w:eastAsia="Calibri"/>
          <w:b w:val="0"/>
          <w:i w:val="0"/>
          <w:color w:val="05131D"/>
          <w:sz w:val="22"/>
        </w:rPr>
        <w:t>Apply for NCSA authorisation to transfer personal data outside Rwanda (Article 48) and, if data at rest remains abroad, authorisation to store outside Rwanda (Article 50).</w:t>
      </w:r>
    </w:p>
    <w:p>
      <w:pPr>
        <w:pStyle w:val="ListNumber"/>
        <w:spacing w:after="60" w:line="269" w:lineRule="auto"/>
      </w:pPr>
      <w:r>
        <w:rPr>
          <w:rFonts w:ascii="Calibri" w:hAnsi="Calibri" w:eastAsia="Calibri"/>
          <w:b w:val="0"/>
          <w:i w:val="0"/>
          <w:color w:val="05131D"/>
          <w:sz w:val="22"/>
        </w:rPr>
        <w:t>Put written contracts in place with each sub-processor, using NCSA’s expected clauses for foreign transfers where required (Article 49).</w:t>
      </w:r>
    </w:p>
    <w:p>
      <w:pPr>
        <w:pStyle w:val="ListNumber"/>
        <w:spacing w:after="60" w:line="269" w:lineRule="auto"/>
      </w:pPr>
      <w:r>
        <w:rPr>
          <w:rFonts w:ascii="Calibri" w:hAnsi="Calibri" w:eastAsia="Calibri"/>
          <w:b w:val="0"/>
          <w:i w:val="0"/>
          <w:color w:val="05131D"/>
          <w:sz w:val="22"/>
        </w:rPr>
        <w:t>Decide whether production databases and file storage should later move to infrastructure physically in Rwanda. If they move, notify NCSA within 15 working days (Article 32).</w:t>
      </w:r>
    </w:p>
    <w:p>
      <w:pPr>
        <w:spacing w:after="160" w:before="0" w:line="276" w:lineRule="auto"/>
      </w:pPr>
      <w:r>
        <w:rPr>
          <w:rFonts w:ascii="Calibri" w:hAnsi="Calibri" w:eastAsia="Calibri"/>
          <w:b/>
          <w:i w:val="0"/>
          <w:color w:val="05131D"/>
          <w:sz w:val="22"/>
        </w:rPr>
        <w:t>Do not tell NCSA that personal data is stored only in Rwanda unless and until that is technically true. False information on registration is a criminal offence (Article 61).</w:t>
      </w:r>
    </w:p>
    <w:p>
      <w:pPr>
        <w:pStyle w:val="Heading1"/>
        <w:spacing w:before="320" w:after="120"/>
      </w:pPr>
      <w:r>
        <w:rPr>
          <w:rFonts w:ascii="Calibri" w:hAnsi="Calibri"/>
          <w:color w:val="05131D"/>
        </w:rPr>
        <w:t>13. Risks and safeguards (for Section 6 of the forms)</w:t>
      </w:r>
    </w:p>
    <w:tbl>
      <w:tblPr>
        <w:tblW w:type="auto" w:w="0"/>
        <w:jc w:val="center"/>
        <w:tblLayout w:type="autofit"/>
        <w:tblLook w:firstColumn="1" w:firstRow="1" w:lastColumn="0" w:lastRow="0" w:noHBand="0" w:noVBand="1" w:val="04A0"/>
      </w:tblPr>
      <w:tblGrid>
        <w:gridCol w:w="3137"/>
        <w:gridCol w:w="3137"/>
        <w:gridCol w:w="3137"/>
      </w:tblGrid>
      <w:tr>
        <w:tc>
          <w:tcPr>
            <w:tcW w:type="dxa" w:w="238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Risk to personal data</w:t>
            </w:r>
          </w:p>
        </w:tc>
        <w:tc>
          <w:tcPr>
            <w:tcW w:type="dxa" w:w="362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What we do about it today</w:t>
            </w:r>
          </w:p>
        </w:tc>
        <w:tc>
          <w:tcPr>
            <w:tcW w:type="dxa" w:w="362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What legal / ops should still add</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Unauthorised staff access</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Role-based logins; ICT revocation; audit log.</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Written access policy; periodic access review; fill IP on every audit row.</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Stolen password</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Password hash; optional 2FA; session expiry; inactivity sign-out.</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Make 2FA mandatory for staff who see ID documents.</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Lost or leaked ID/photo files</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Private object storage; signed URLs; 10 MB limit.</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Bucket encryption settings; short URL lifetime; Rwanda or authorised region.</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Another school seeing this school’s students</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Separate database per institution; automated isolation tests.</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Keep this rule in every new feature.</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Payment data exposure</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Gateway references rather than card PAN in our forms; secrets in environment variables.</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Minimise gateway_payload retention; PCI scope stays with the gateway.</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Email sent to the wrong person</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Mail only to the address on the account.</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Double-check templates; no full national ID in email bodies.</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Ransomware / backup loss</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Managed database backups (provider).</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Document restore tests; backup location vs Article 50.</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Personal data breach</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Logs and audit exist.</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Written 48-hour NCSA notice playbook (Articles 43–45); DPO on-call.</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Under-16 data without parental consent</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Guardian fields required for undergraduates; date of birth collected.</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Hard stop in the form when age &lt; 16 until guardian confirms.</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Profiling harm (at-risk scores)</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Human registrar still decides; no automatic exclusion in code.</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DPIA (Article 38) before automated decisions; explain scores to the student.</w:t>
            </w:r>
          </w:p>
        </w:tc>
      </w:tr>
      <w:tr>
        <w:tc>
          <w:tcPr>
            <w:tcW w:type="dxa" w:w="238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Supplier in another country</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Needed to run the current cloud setup.</w:t>
            </w:r>
          </w:p>
        </w:tc>
        <w:tc>
          <w:tcPr>
            <w:tcW w:type="dxa" w:w="362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NCSA transfer/storage authorisation; processor contracts.</w:t>
            </w:r>
          </w:p>
        </w:tc>
      </w:tr>
      <w:tr>
        <w:tc>
          <w:tcPr>
            <w:tcW w:type="dxa" w:w="238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Staff device theft</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HTTPS; session cookies.</w:t>
            </w:r>
          </w:p>
        </w:tc>
        <w:tc>
          <w:tcPr>
            <w:tcW w:type="dxa" w:w="362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Institution device policy; screen lock; no downloads of ID packs to personal laptops without encryption.</w:t>
            </w:r>
          </w:p>
        </w:tc>
      </w:tr>
    </w:tbl>
    <w:p/>
    <w:p>
      <w:pPr>
        <w:pStyle w:val="Heading1"/>
        <w:spacing w:before="320" w:after="120"/>
      </w:pPr>
      <w:r>
        <w:rPr>
          <w:rFonts w:ascii="Calibri" w:hAnsi="Calibri"/>
          <w:color w:val="05131D"/>
        </w:rPr>
        <w:t>14. Retention and deletion (Article 52)</w:t>
      </w:r>
    </w:p>
    <w:p>
      <w:pPr>
        <w:spacing w:after="160" w:before="0" w:line="276" w:lineRule="auto"/>
      </w:pPr>
      <w:r>
        <w:rPr>
          <w:rFonts w:ascii="Calibri" w:hAnsi="Calibri" w:eastAsia="Calibri"/>
          <w:b w:val="0"/>
          <w:i w:val="0"/>
          <w:color w:val="05131D"/>
          <w:sz w:val="22"/>
        </w:rPr>
        <w:t>The law says we keep personal data only as long as needed for the purpose, then destroy it so it cannot be rebuilt in a readable form. Longer keeping is allowed for listed reasons (law, contract, legal claims, authorised research, consent, and others in Article 52).</w:t>
      </w:r>
    </w:p>
    <w:p>
      <w:pPr>
        <w:spacing w:after="160" w:before="0" w:line="276" w:lineRule="auto"/>
      </w:pPr>
      <w:r>
        <w:rPr>
          <w:rFonts w:ascii="Calibri" w:hAnsi="Calibri" w:eastAsia="Calibri"/>
          <w:b w:val="0"/>
          <w:i w:val="0"/>
          <w:color w:val="05131D"/>
          <w:sz w:val="22"/>
        </w:rPr>
        <w:t>Suggested retention schedule for counsel to approve with each client institution:</w:t>
      </w:r>
    </w:p>
    <w:tbl>
      <w:tblPr>
        <w:tblW w:type="auto" w:w="0"/>
        <w:jc w:val="center"/>
        <w:tblLayout w:type="autofit"/>
        <w:tblLook w:firstColumn="1" w:firstRow="1" w:lastColumn="0" w:lastRow="0" w:noHBand="0" w:noVBand="1" w:val="04A0"/>
      </w:tblPr>
      <w:tblGrid>
        <w:gridCol w:w="3137"/>
        <w:gridCol w:w="3137"/>
        <w:gridCol w:w="3137"/>
      </w:tblGrid>
      <w:tr>
        <w:tc>
          <w:tcPr>
            <w:tcW w:type="dxa" w:w="2551"/>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Record</w:t>
            </w:r>
          </w:p>
        </w:tc>
        <w:tc>
          <w:tcPr>
            <w:tcW w:type="dxa" w:w="3685"/>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Suggested period (to be approved)</w:t>
            </w:r>
          </w:p>
        </w:tc>
        <w:tc>
          <w:tcPr>
            <w:tcW w:type="dxa" w:w="3402"/>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Why</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Unfinished application drafts</w:t>
            </w:r>
          </w:p>
        </w:tc>
        <w:tc>
          <w:tcPr>
            <w:tcW w:type="dxa" w:w="368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12 months after last activity, then delete</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Purpose (apply) has ended if they never submit.</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Rejected / withdrawn applications</w:t>
            </w:r>
          </w:p>
        </w:tc>
        <w:tc>
          <w:tcPr>
            <w:tcW w:type="dxa" w:w="368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2 years after decision, then delete files and form; keep a slim anonymous statistic if needed</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Complaints and audit, then minimise.</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Accepted applications and student file</w:t>
            </w:r>
          </w:p>
        </w:tc>
        <w:tc>
          <w:tcPr>
            <w:tcW w:type="dxa" w:w="368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For the student relationship plus the period the institution must keep academic records under education rules</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Contract and legal obligation.</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Results and transcripts</w:t>
            </w:r>
          </w:p>
        </w:tc>
        <w:tc>
          <w:tcPr>
            <w:tcW w:type="dxa" w:w="368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As required for official academic records (often many years)</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Legal obligation / official authority of the school.</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Fee receipts</w:t>
            </w:r>
          </w:p>
        </w:tc>
        <w:tc>
          <w:tcPr>
            <w:tcW w:type="dxa" w:w="368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As required for tax and audit (commonly 10 years in commercial practice — confirm Rwandan tax rules)</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Legal obligation.</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Login attempts</w:t>
            </w:r>
          </w:p>
        </w:tc>
        <w:tc>
          <w:tcPr>
            <w:tcW w:type="dxa" w:w="368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90 days unless a security investigation is open</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Legitimate interest, then delete.</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Sessions</w:t>
            </w:r>
          </w:p>
        </w:tc>
        <w:tc>
          <w:tcPr>
            <w:tcW w:type="dxa" w:w="368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Until expiry or logout</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Sign-in only.</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Audit log</w:t>
            </w:r>
          </w:p>
        </w:tc>
        <w:tc>
          <w:tcPr>
            <w:tcW w:type="dxa" w:w="368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At least 3 years, longer if a dispute is open</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Security and legal claims. Do not silently edit audit rows.</w:t>
            </w:r>
          </w:p>
        </w:tc>
      </w:tr>
      <w:tr>
        <w:tc>
          <w:tcPr>
            <w:tcW w:type="dxa" w:w="2551"/>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Email in Resend</w:t>
            </w:r>
          </w:p>
        </w:tc>
        <w:tc>
          <w:tcPr>
            <w:tcW w:type="dxa" w:w="368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Follow Resend’s retention; do not put extra copies in shared inboxes</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Minimise copies.</w:t>
            </w:r>
          </w:p>
        </w:tc>
      </w:tr>
      <w:tr>
        <w:tc>
          <w:tcPr>
            <w:tcW w:type="dxa" w:w="2551"/>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Backups</w:t>
            </w:r>
          </w:p>
        </w:tc>
        <w:tc>
          <w:tcPr>
            <w:tcW w:type="dxa" w:w="368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Follow backup cycle, then expire</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Must not keep deleted people forever in backups without a plan.</w:t>
            </w:r>
          </w:p>
        </w:tc>
      </w:tr>
    </w:tbl>
    <w:p/>
    <w:p>
      <w:pPr>
        <w:spacing w:after="160" w:before="0" w:line="276" w:lineRule="auto"/>
      </w:pPr>
      <w:r>
        <w:rPr>
          <w:rFonts w:ascii="Calibri" w:hAnsi="Calibri" w:eastAsia="Calibri"/>
          <w:b w:val="0"/>
          <w:i w:val="0"/>
          <w:color w:val="05131D"/>
          <w:sz w:val="22"/>
        </w:rPr>
        <w:t>The product has an operational tool to purge applicant data (including login directory rows) so an email can be reused. That is a deletion tool, not a published self-service “erase my data” button. Legal should still define how a data-subject erasure request (Article 23) is handled within 30 days, including files in R2.</w:t>
      </w:r>
    </w:p>
    <w:p>
      <w:pPr>
        <w:pStyle w:val="Heading1"/>
        <w:spacing w:before="320" w:after="120"/>
      </w:pPr>
      <w:r>
        <w:rPr>
          <w:rFonts w:ascii="Calibri" w:hAnsi="Calibri"/>
          <w:color w:val="05131D"/>
        </w:rPr>
        <w:t>15. Logging and records we must keep (Articles 16–17)</w:t>
      </w:r>
    </w:p>
    <w:p>
      <w:pPr>
        <w:spacing w:after="160" w:before="0" w:line="276" w:lineRule="auto"/>
      </w:pPr>
      <w:r>
        <w:rPr>
          <w:rFonts w:ascii="Calibri" w:hAnsi="Calibri" w:eastAsia="Calibri"/>
          <w:b w:val="0"/>
          <w:i w:val="0"/>
          <w:color w:val="05131D"/>
          <w:sz w:val="22"/>
        </w:rPr>
        <w:t>Article 16 requires logs of collection, alteration, access, disclosure, combining and erasure, with time and, where possible, who did it. Article 17 requires a record of processing activities (name of controller/processor, purposes, categories of people and data, recipients, foreign transfers, retention).</w:t>
      </w:r>
    </w:p>
    <w:p>
      <w:pPr>
        <w:spacing w:after="160" w:before="0" w:line="276" w:lineRule="auto"/>
      </w:pPr>
      <w:r>
        <w:rPr>
          <w:rFonts w:ascii="Calibri" w:hAnsi="Calibri" w:eastAsia="Calibri"/>
          <w:b w:val="0"/>
          <w:i w:val="0"/>
          <w:color w:val="05131D"/>
          <w:sz w:val="22"/>
        </w:rPr>
        <w:t>This Word file is a first draft of the Article 17 record for StackEDU. The product audit log covers many “who changed what” events but does not yet log every single read of a student file. Counsel should treat “complete Article 16 logging” as a compliance gap to close, especially for ID-document views (the application already records when an admin opened a file).</w:t>
      </w:r>
    </w:p>
    <w:p>
      <w:pPr>
        <w:pStyle w:val="Heading1"/>
        <w:spacing w:before="320" w:after="120"/>
      </w:pPr>
      <w:r>
        <w:rPr>
          <w:rFonts w:ascii="Calibri" w:hAnsi="Calibri"/>
          <w:color w:val="05131D"/>
        </w:rPr>
        <w:t>16. Rights of the person (Articles 18–26) — how StackEDU should respond</w:t>
      </w:r>
    </w:p>
    <w:tbl>
      <w:tblPr>
        <w:tblW w:type="auto" w:w="0"/>
        <w:jc w:val="center"/>
        <w:tblLayout w:type="autofit"/>
        <w:tblLook w:firstColumn="1" w:firstRow="1" w:lastColumn="0" w:lastRow="0" w:noHBand="0" w:noVBand="1" w:val="04A0"/>
      </w:tblPr>
      <w:tblGrid>
        <w:gridCol w:w="3137"/>
        <w:gridCol w:w="3137"/>
        <w:gridCol w:w="3137"/>
      </w:tblGrid>
      <w:tr>
        <w:tc>
          <w:tcPr>
            <w:tcW w:type="dxa" w:w="226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Right</w:t>
            </w:r>
          </w:p>
        </w:tc>
        <w:tc>
          <w:tcPr>
            <w:tcW w:type="dxa" w:w="3402"/>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What it means in simple English</w:t>
            </w:r>
          </w:p>
        </w:tc>
        <w:tc>
          <w:tcPr>
            <w:tcW w:type="dxa" w:w="3969"/>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How we should handle it</w:t>
            </w:r>
          </w:p>
        </w:tc>
      </w:tr>
      <w:tr>
        <w:tc>
          <w:tcPr>
            <w:tcW w:type="dxa" w:w="226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Access (Art. 18)</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“Tell me what you have on me, and give me a copy.”</w:t>
            </w:r>
          </w:p>
        </w:tc>
        <w:tc>
          <w:tcPr>
            <w:tcW w:type="dxa" w:w="39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ICT + Registrar pack: account, application, student profile. Marks/scripts have a legal exception.</w:t>
            </w:r>
          </w:p>
        </w:tc>
      </w:tr>
      <w:tr>
        <w:tc>
          <w:tcPr>
            <w:tcW w:type="dxa" w:w="226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Object (Art. 19)</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“Stop using my data in a way that upsets me,” especially marketing.</w:t>
            </w:r>
          </w:p>
        </w:tc>
        <w:tc>
          <w:tcPr>
            <w:tcW w:type="dxa" w:w="396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No marketing lists from student files. Service data needed to run the school may continue with a written reason.</w:t>
            </w:r>
          </w:p>
        </w:tc>
      </w:tr>
      <w:tr>
        <w:tc>
          <w:tcPr>
            <w:tcW w:type="dxa" w:w="226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Portability (Art. 20)</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“Give my data in a readable file, or send it to another school if technically possible.”</w:t>
            </w:r>
          </w:p>
        </w:tc>
        <w:tc>
          <w:tcPr>
            <w:tcW w:type="dxa" w:w="39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Export already exists for some registrar tables (Excel/PDF). A full student-pack export should be a 30-day process.</w:t>
            </w:r>
          </w:p>
        </w:tc>
      </w:tr>
      <w:tr>
        <w:tc>
          <w:tcPr>
            <w:tcW w:type="dxa" w:w="226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Not only a machine decision (Art. 21)</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 computer score must not, by itself, expel or refuse someone without a lawful exception.</w:t>
            </w:r>
          </w:p>
        </w:tc>
        <w:tc>
          <w:tcPr>
            <w:tcW w:type="dxa" w:w="396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Keep a human in the loop for at-risk and admissions.</w:t>
            </w:r>
          </w:p>
        </w:tc>
      </w:tr>
      <w:tr>
        <w:tc>
          <w:tcPr>
            <w:tcW w:type="dxa" w:w="226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Restriction (Art. 22)</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Pause use while a dispute is checked.</w:t>
            </w:r>
          </w:p>
        </w:tc>
        <w:tc>
          <w:tcPr>
            <w:tcW w:type="dxa" w:w="39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ICT can deactivate a login; Registrar notes the file. Need a “processing restricted” procedure.</w:t>
            </w:r>
          </w:p>
        </w:tc>
      </w:tr>
      <w:tr>
        <w:tc>
          <w:tcPr>
            <w:tcW w:type="dxa" w:w="226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Erasure (Art. 23)</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Delete when the purpose is over or consent is withdrawn and no other ground remains.</w:t>
            </w:r>
          </w:p>
        </w:tc>
        <w:tc>
          <w:tcPr>
            <w:tcW w:type="dxa" w:w="396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Not always possible for official transcripts. Explain legally required keeps in the 30-day reply.</w:t>
            </w:r>
          </w:p>
        </w:tc>
      </w:tr>
      <w:tr>
        <w:tc>
          <w:tcPr>
            <w:tcW w:type="dxa" w:w="226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Rectification (Art. 24)</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Correct wrong data; complete incomplete data.</w:t>
            </w:r>
          </w:p>
        </w:tc>
        <w:tc>
          <w:tcPr>
            <w:tcW w:type="dxa" w:w="39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Student/applicant can be given a correction path; staff already edit some fields (for example course code).</w:t>
            </w:r>
          </w:p>
        </w:tc>
      </w:tr>
      <w:tr>
        <w:tc>
          <w:tcPr>
            <w:tcW w:type="dxa" w:w="226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Heir (Art. 25)</w:t>
            </w:r>
          </w:p>
        </w:tc>
        <w:tc>
          <w:tcPr>
            <w:tcW w:type="dxa" w:w="3402"/>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Personal data is not inherited, unless a will says otherwise.</w:t>
            </w:r>
          </w:p>
        </w:tc>
        <w:tc>
          <w:tcPr>
            <w:tcW w:type="dxa" w:w="3969"/>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Handle via the institution’s records office with legal advice.</w:t>
            </w:r>
          </w:p>
        </w:tc>
      </w:tr>
      <w:tr>
        <w:tc>
          <w:tcPr>
            <w:tcW w:type="dxa" w:w="226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Representation (Art. 26)</w:t>
            </w:r>
          </w:p>
        </w:tc>
        <w:tc>
          <w:tcPr>
            <w:tcW w:type="dxa" w:w="3402"/>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 parent or guardian acts for a child under 16, or for a person who cannot act.</w:t>
            </w:r>
          </w:p>
        </w:tc>
        <w:tc>
          <w:tcPr>
            <w:tcW w:type="dxa" w:w="3969"/>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Use guardian fields; keep a written authority.</w:t>
            </w:r>
          </w:p>
        </w:tc>
      </w:tr>
    </w:tbl>
    <w:p/>
    <w:p>
      <w:pPr>
        <w:spacing w:after="160" w:before="0" w:line="276" w:lineRule="auto"/>
      </w:pPr>
      <w:r>
        <w:rPr>
          <w:rFonts w:ascii="Calibri" w:hAnsi="Calibri" w:eastAsia="Calibri"/>
          <w:b w:val="0"/>
          <w:i w:val="0"/>
          <w:color w:val="05131D"/>
          <w:sz w:val="22"/>
        </w:rPr>
        <w:t>Whenever the law gives a 30-day reply, the institution (controller) must answer in writing or electronically. If the person is not satisfied, they have 30 days to appeal to NCSA, and NCSA has 60 days to respond. StackForgeAI as processor must help the institution meet those clocks (Article 4 — processing on instructions, with proper safeguards).</w:t>
      </w:r>
    </w:p>
    <w:p>
      <w:pPr>
        <w:pStyle w:val="Heading1"/>
        <w:spacing w:before="320" w:after="120"/>
      </w:pPr>
      <w:r>
        <w:rPr>
          <w:rFonts w:ascii="Calibri" w:hAnsi="Calibri"/>
          <w:color w:val="05131D"/>
        </w:rPr>
        <w:t>17. Information we must give when we collect data (Article 42)</w:t>
      </w:r>
    </w:p>
    <w:p>
      <w:pPr>
        <w:spacing w:after="160" w:before="0" w:line="276" w:lineRule="auto"/>
      </w:pPr>
      <w:r>
        <w:rPr>
          <w:rFonts w:ascii="Calibri" w:hAnsi="Calibri" w:eastAsia="Calibri"/>
          <w:b w:val="0"/>
          <w:i w:val="0"/>
          <w:color w:val="05131D"/>
          <w:sz w:val="22"/>
        </w:rPr>
        <w:t>At collection, the person should be told: who we are; why we collect; who receives the data; whether answering is optional or required; the right to withdraw consent; rights of access, correction, restriction, erasure and objection; any automated decision-making; how long we keep the data; the right to complain to NCSA; and if data goes outside Rwanda, that it does, with an assurance about security.</w:t>
      </w:r>
    </w:p>
    <w:p>
      <w:pPr>
        <w:spacing w:after="160" w:before="0" w:line="276" w:lineRule="auto"/>
      </w:pPr>
      <w:r>
        <w:rPr>
          <w:rFonts w:ascii="Calibri" w:hAnsi="Calibri" w:eastAsia="Calibri"/>
          <w:b w:val="0"/>
          <w:i w:val="0"/>
          <w:color w:val="05131D"/>
          <w:sz w:val="22"/>
        </w:rPr>
        <w:t>Action for legal and product: put a short, plain-language privacy notice on Apply, on first staff login, and on the public privacy page, covering the points above. The marketing privacy page should not pretend the EMS collects nothing.</w:t>
      </w:r>
    </w:p>
    <w:p>
      <w:pPr>
        <w:pStyle w:val="Heading1"/>
        <w:spacing w:before="320" w:after="120"/>
      </w:pPr>
      <w:r>
        <w:rPr>
          <w:rFonts w:ascii="Calibri" w:hAnsi="Calibri"/>
          <w:color w:val="05131D"/>
        </w:rPr>
        <w:t>18. Personal data breaches (Articles 43–45)</w:t>
      </w:r>
    </w:p>
    <w:p>
      <w:pPr>
        <w:pStyle w:val="ListNumber"/>
        <w:spacing w:after="60" w:line="269" w:lineRule="auto"/>
      </w:pPr>
      <w:r>
        <w:rPr>
          <w:rFonts w:ascii="Calibri" w:hAnsi="Calibri" w:eastAsia="Calibri"/>
          <w:b w:val="0"/>
          <w:i w:val="0"/>
          <w:color w:val="05131D"/>
          <w:sz w:val="22"/>
        </w:rPr>
        <w:t>If StackForgeAI (processor) becomes aware of a breach, it must tell the client institution (controller) within 48 hours.</w:t>
      </w:r>
    </w:p>
    <w:p>
      <w:pPr>
        <w:pStyle w:val="ListNumber"/>
        <w:spacing w:after="60" w:line="269" w:lineRule="auto"/>
      </w:pPr>
      <w:r>
        <w:rPr>
          <w:rFonts w:ascii="Calibri" w:hAnsi="Calibri" w:eastAsia="Calibri"/>
          <w:b w:val="0"/>
          <w:i w:val="0"/>
          <w:color w:val="05131D"/>
          <w:sz w:val="22"/>
        </w:rPr>
        <w:t>The controller must tell NCSA within 48 hours of becoming aware.</w:t>
      </w:r>
    </w:p>
    <w:p>
      <w:pPr>
        <w:pStyle w:val="ListNumber"/>
        <w:spacing w:after="60" w:line="269" w:lineRule="auto"/>
      </w:pPr>
      <w:r>
        <w:rPr>
          <w:rFonts w:ascii="Calibri" w:hAnsi="Calibri" w:eastAsia="Calibri"/>
          <w:b w:val="0"/>
          <w:i w:val="0"/>
          <w:color w:val="05131D"/>
          <w:sz w:val="22"/>
        </w:rPr>
        <w:t>The controller must send NCSA a written report within 72 hours: what happened, roughly how many people, what kinds of data, DPO contact, what was done to fix and reduce harm, and a proposal for telling affected people.</w:t>
      </w:r>
    </w:p>
    <w:p>
      <w:pPr>
        <w:pStyle w:val="ListNumber"/>
        <w:spacing w:after="60" w:line="269" w:lineRule="auto"/>
      </w:pPr>
      <w:r>
        <w:rPr>
          <w:rFonts w:ascii="Calibri" w:hAnsi="Calibri" w:eastAsia="Calibri"/>
          <w:b w:val="0"/>
          <w:i w:val="0"/>
          <w:color w:val="05131D"/>
          <w:sz w:val="22"/>
        </w:rPr>
        <w:t>If there is a high risk to people (for example leaked ID copies or passwords), tell those people in writing or electronically, unless encryption or other measures make real harm unlikely, or a public notice is equally effective.</w:t>
      </w:r>
    </w:p>
    <w:p>
      <w:pPr>
        <w:spacing w:after="160" w:before="0" w:line="276" w:lineRule="auto"/>
      </w:pPr>
      <w:r>
        <w:rPr>
          <w:rFonts w:ascii="Calibri" w:hAnsi="Calibri" w:eastAsia="Calibri"/>
          <w:b w:val="0"/>
          <w:i w:val="0"/>
          <w:color w:val="05131D"/>
          <w:sz w:val="22"/>
        </w:rPr>
        <w:t>Fines for not notifying, not reporting, or not telling affected people sit in Article 53: from RWF 2,000,000 to RWF 5,000,000, or 1% of global turnover of the previous year. That is administrative. Separate criminal offences exist for unlawful access, sale, or unlawful handling of sensitive data (Articles 56–62), with imprisonment and higher fines, and 5% of turnover for a company.</w:t>
      </w:r>
    </w:p>
    <w:p>
      <w:pPr>
        <w:pStyle w:val="Heading1"/>
        <w:spacing w:before="320" w:after="120"/>
      </w:pPr>
      <w:r>
        <w:rPr>
          <w:rFonts w:ascii="Calibri" w:hAnsi="Calibri"/>
          <w:color w:val="05131D"/>
        </w:rPr>
        <w:t>19. Data-protection officer and impact assessments</w:t>
      </w:r>
    </w:p>
    <w:p>
      <w:pPr>
        <w:spacing w:after="160" w:before="0" w:line="276" w:lineRule="auto"/>
      </w:pPr>
      <w:r>
        <w:rPr>
          <w:rFonts w:ascii="Calibri" w:hAnsi="Calibri" w:eastAsia="Calibri"/>
          <w:b w:val="0"/>
          <w:i w:val="0"/>
          <w:color w:val="05131D"/>
          <w:sz w:val="22"/>
        </w:rPr>
        <w:t>Article 40 requires a Data Protection Officer where processing is done by a corporate body (among other cases). StackForgeAI should designate one, publish their email and phone, and send those details to NCSA. A group of companies may share one officer if they are easy to reach. The officer may be staff or a contractor. Their job is to advise, watch compliance, train, help with impact assessments, and be NCSA’s contact (Article 41).</w:t>
      </w:r>
    </w:p>
    <w:p>
      <w:pPr>
        <w:spacing w:after="160" w:before="0" w:line="276" w:lineRule="auto"/>
      </w:pPr>
      <w:r>
        <w:rPr>
          <w:rFonts w:ascii="Calibri" w:hAnsi="Calibri" w:eastAsia="Calibri"/>
          <w:b w:val="0"/>
          <w:i w:val="0"/>
          <w:color w:val="05131D"/>
          <w:sz w:val="22"/>
        </w:rPr>
        <w:t>Article 38 requires a data-protection impact assessment when processing is likely to be high risk — including large-scale sensitive data, systematic profiling that decides things about people, or new technologies. Admissions files with ID photos and medical insurance, plus any live at-risk scoring, are the two places counsel should consider a DPIA first.</w:t>
      </w:r>
    </w:p>
    <w:p>
      <w:pPr>
        <w:pStyle w:val="Heading1"/>
        <w:spacing w:before="320" w:after="120"/>
      </w:pPr>
      <w:r>
        <w:rPr>
          <w:rFonts w:ascii="Calibri" w:hAnsi="Calibri"/>
          <w:color w:val="05131D"/>
        </w:rPr>
        <w:t>20. What is live today versus not yet built</w:t>
      </w:r>
    </w:p>
    <w:p>
      <w:pPr>
        <w:spacing w:after="160" w:before="0" w:line="276" w:lineRule="auto"/>
      </w:pPr>
      <w:r>
        <w:rPr>
          <w:rFonts w:ascii="Calibri" w:hAnsi="Calibri" w:eastAsia="Calibri"/>
          <w:b w:val="0"/>
          <w:i w:val="0"/>
          <w:color w:val="05131D"/>
          <w:sz w:val="22"/>
        </w:rPr>
        <w:t>Registration must describe actual and intended processing. Be honest about both, then use Article 32 to update NCSA when a big feature goes live.</w:t>
      </w:r>
    </w:p>
    <w:p>
      <w:pPr>
        <w:pStyle w:val="Heading2"/>
        <w:spacing w:before="240" w:after="120"/>
      </w:pPr>
      <w:r>
        <w:rPr>
          <w:rFonts w:ascii="Calibri" w:hAnsi="Calibri"/>
          <w:color w:val="05131D"/>
        </w:rPr>
        <w:t>20.1 Live on real records (Academic Admin and admissions focus)</w:t>
      </w:r>
    </w:p>
    <w:p>
      <w:pPr>
        <w:pStyle w:val="ListBullet"/>
        <w:spacing w:after="60" w:line="269" w:lineRule="auto"/>
      </w:pPr>
      <w:r>
        <w:rPr>
          <w:rFonts w:ascii="Calibri" w:hAnsi="Calibri" w:eastAsia="Calibri"/>
          <w:b w:val="0"/>
          <w:i w:val="0"/>
          <w:color w:val="05131D"/>
          <w:sz w:val="22"/>
        </w:rPr>
        <w:t>Applicant accounts, multi-step application, document upload, application fee record, submit, registrar review, offer accept/decline, conversion to student.</w:t>
      </w:r>
    </w:p>
    <w:p>
      <w:pPr>
        <w:pStyle w:val="ListBullet"/>
        <w:spacing w:after="60" w:line="269" w:lineRule="auto"/>
      </w:pPr>
      <w:r>
        <w:rPr>
          <w:rFonts w:ascii="Calibri" w:hAnsi="Calibri" w:eastAsia="Calibri"/>
          <w:b w:val="0"/>
          <w:i w:val="0"/>
          <w:color w:val="05131D"/>
          <w:sz w:val="22"/>
        </w:rPr>
        <w:t>Student registry, student profile view, enrolment status changes with reason and audit (suspend, transfer, graduate, withdraw).</w:t>
      </w:r>
    </w:p>
    <w:p>
      <w:pPr>
        <w:pStyle w:val="ListBullet"/>
        <w:spacing w:after="60" w:line="269" w:lineRule="auto"/>
      </w:pPr>
      <w:r>
        <w:rPr>
          <w:rFonts w:ascii="Calibri" w:hAnsi="Calibri" w:eastAsia="Calibri"/>
          <w:b w:val="0"/>
          <w:i w:val="0"/>
          <w:color w:val="05131D"/>
          <w:sz w:val="22"/>
        </w:rPr>
        <w:t>Course catalogue create/edit/archive, bulk Excel import, editable course codes.</w:t>
      </w:r>
    </w:p>
    <w:p>
      <w:pPr>
        <w:pStyle w:val="ListBullet"/>
        <w:spacing w:after="60" w:line="269" w:lineRule="auto"/>
      </w:pPr>
      <w:r>
        <w:rPr>
          <w:rFonts w:ascii="Calibri" w:hAnsi="Calibri" w:eastAsia="Calibri"/>
          <w:b w:val="0"/>
          <w:i w:val="0"/>
          <w:color w:val="05131D"/>
          <w:sz w:val="22"/>
        </w:rPr>
        <w:t>Programmes, academic calendar, results approval workflow, at-risk list display, in-app notifications, shared profile and settings.</w:t>
      </w:r>
    </w:p>
    <w:p>
      <w:pPr>
        <w:pStyle w:val="ListBullet"/>
        <w:spacing w:after="60" w:line="269" w:lineRule="auto"/>
      </w:pPr>
      <w:r>
        <w:rPr>
          <w:rFonts w:ascii="Calibri" w:hAnsi="Calibri" w:eastAsia="Calibri"/>
          <w:b w:val="0"/>
          <w:i w:val="0"/>
          <w:color w:val="05131D"/>
          <w:sz w:val="22"/>
        </w:rPr>
        <w:t>ICT user management, access levels, revocation, audit log, institution branding, integration on/off flags.</w:t>
      </w:r>
    </w:p>
    <w:p>
      <w:pPr>
        <w:pStyle w:val="ListBullet"/>
        <w:spacing w:after="60" w:line="269" w:lineRule="auto"/>
      </w:pPr>
      <w:r>
        <w:rPr>
          <w:rFonts w:ascii="Calibri" w:hAnsi="Calibri" w:eastAsia="Calibri"/>
          <w:b w:val="0"/>
          <w:i w:val="0"/>
          <w:color w:val="05131D"/>
          <w:sz w:val="22"/>
        </w:rPr>
        <w:t>Student-facing apply/track and student portal slices that are wired to the API.</w:t>
      </w:r>
    </w:p>
    <w:p>
      <w:pPr>
        <w:pStyle w:val="Heading2"/>
        <w:spacing w:before="240" w:after="120"/>
      </w:pPr>
      <w:r>
        <w:rPr>
          <w:rFonts w:ascii="Calibri" w:hAnsi="Calibri"/>
          <w:color w:val="05131D"/>
        </w:rPr>
        <w:t>20.2 Designed in the database but not fully live</w:t>
      </w:r>
    </w:p>
    <w:p>
      <w:pPr>
        <w:pStyle w:val="ListBullet"/>
        <w:spacing w:after="60" w:line="269" w:lineRule="auto"/>
      </w:pPr>
      <w:r>
        <w:rPr>
          <w:rFonts w:ascii="Calibri" w:hAnsi="Calibri" w:eastAsia="Calibri"/>
          <w:b w:val="0"/>
          <w:i w:val="0"/>
          <w:color w:val="05131D"/>
          <w:sz w:val="22"/>
        </w:rPr>
        <w:t>Bursar live payments across all channels, full ledger and reconciliation as a finished product.</w:t>
      </w:r>
    </w:p>
    <w:p>
      <w:pPr>
        <w:pStyle w:val="ListBullet"/>
        <w:spacing w:after="60" w:line="269" w:lineRule="auto"/>
      </w:pPr>
      <w:r>
        <w:rPr>
          <w:rFonts w:ascii="Calibri" w:hAnsi="Calibri" w:eastAsia="Calibri"/>
          <w:b w:val="0"/>
          <w:i w:val="0"/>
          <w:color w:val="05131D"/>
          <w:sz w:val="22"/>
        </w:rPr>
        <w:t>Librarian portal (the student library screen is far ahead of the staff portal).</w:t>
      </w:r>
    </w:p>
    <w:p>
      <w:pPr>
        <w:pStyle w:val="ListBullet"/>
        <w:spacing w:after="60" w:line="269" w:lineRule="auto"/>
      </w:pPr>
      <w:r>
        <w:rPr>
          <w:rFonts w:ascii="Calibri" w:hAnsi="Calibri" w:eastAsia="Calibri"/>
          <w:b w:val="0"/>
          <w:i w:val="0"/>
          <w:color w:val="05131D"/>
          <w:sz w:val="22"/>
        </w:rPr>
        <w:t>Lecturer portal still uses mock or partial data in places.</w:t>
      </w:r>
    </w:p>
    <w:p>
      <w:pPr>
        <w:pStyle w:val="ListBullet"/>
        <w:spacing w:after="60" w:line="269" w:lineRule="auto"/>
      </w:pPr>
      <w:r>
        <w:rPr>
          <w:rFonts w:ascii="Calibri" w:hAnsi="Calibri" w:eastAsia="Calibri"/>
          <w:b w:val="0"/>
          <w:i w:val="0"/>
          <w:color w:val="05131D"/>
          <w:sz w:val="22"/>
        </w:rPr>
        <w:t>SMS sending, DPO card gateway, OAuth social login, student avatar upload, guardians table population, blood-group auto-fill.</w:t>
      </w:r>
    </w:p>
    <w:p>
      <w:pPr>
        <w:pStyle w:val="ListBullet"/>
        <w:spacing w:after="60" w:line="269" w:lineRule="auto"/>
      </w:pPr>
      <w:r>
        <w:rPr>
          <w:rFonts w:ascii="Calibri" w:hAnsi="Calibri" w:eastAsia="Calibri"/>
          <w:b w:val="0"/>
          <w:i w:val="0"/>
          <w:color w:val="05131D"/>
          <w:sz w:val="22"/>
        </w:rPr>
        <w:t>Timetable editing with conflict checks; assigning lecturers to courses as a full write workflow.</w:t>
      </w:r>
    </w:p>
    <w:p>
      <w:pPr>
        <w:pStyle w:val="ListBullet"/>
        <w:spacing w:after="60" w:line="269" w:lineRule="auto"/>
      </w:pPr>
      <w:r>
        <w:rPr>
          <w:rFonts w:ascii="Calibri" w:hAnsi="Calibri" w:eastAsia="Calibri"/>
          <w:b w:val="0"/>
          <w:i w:val="0"/>
          <w:color w:val="05131D"/>
          <w:sz w:val="22"/>
        </w:rPr>
        <w:t>Redis/cache actually used in application code.</w:t>
      </w:r>
    </w:p>
    <w:p>
      <w:pPr>
        <w:pStyle w:val="Heading1"/>
        <w:spacing w:before="320" w:after="120"/>
      </w:pPr>
      <w:r>
        <w:rPr>
          <w:rFonts w:ascii="Calibri" w:hAnsi="Calibri"/>
          <w:color w:val="05131D"/>
        </w:rPr>
        <w:t>21. Suggested Article 17 record (copy onto internal ROPA)</w:t>
      </w:r>
    </w:p>
    <w:tbl>
      <w:tblPr>
        <w:tblW w:type="auto" w:w="0"/>
        <w:jc w:val="center"/>
        <w:tblLayout w:type="autofit"/>
        <w:tblLook w:firstColumn="1" w:firstRow="1" w:lastColumn="0" w:lastRow="0" w:noHBand="0" w:noVBand="1" w:val="04A0"/>
      </w:tblPr>
      <w:tblGrid>
        <w:gridCol w:w="4706"/>
        <w:gridCol w:w="4706"/>
      </w:tblGrid>
      <w:tr>
        <w:tc>
          <w:tcPr>
            <w:tcW w:type="dxa" w:w="2835"/>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ROPA field (Art. 17)</w:t>
            </w:r>
          </w:p>
        </w:tc>
        <w:tc>
          <w:tcPr>
            <w:tcW w:type="dxa" w:w="6803"/>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StackEDU answer</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Name and contact of controller</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For school data: the client institution. For platform data: StackForgeAI — [address, email, phone].</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Processor</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StackForgeAI, operating StackEDU, [contact]. Sub-processors: Vercel, Render, database host, Cloudflare R2, Resend, MTN, Airtel, (later DPO Pay / SMS).</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DPO</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[Name, email, phone — publish and file with NCSA].</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Purposes</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Admissions, student administration, teaching and assessment, fees, library access, ICT security, platform operation and billing.</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Categories of data subjects</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Applicants, students, parents/guardians, emergency contacts, staff (all portal roles), payers, platform staff, website visitors.</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Categories of personal data</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Identity and contact; national ID; education history; documents (including photo and medical insurance); guardian and emergency contacts; special needs; enrolment and results; attendance; fees and payer MSISDN; audit and login metadata; library usage; optional risk scores.</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Sensitive data</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Family details; health/disability/medical insurance; biometric-adjacent photo; possible socio-economic signals (financial aid, guardian occupation).</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Recipients</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Authorised staff of the institution by role; StackForgeAI operators under contract; sub-processors above; regulators when the law requires.</w:t>
            </w:r>
          </w:p>
        </w:tc>
      </w:tr>
      <w:tr>
        <w:tc>
          <w:tcPr>
            <w:tcW w:type="dxa" w:w="2835"/>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Transfers outside Rwanda</w:t>
            </w:r>
          </w:p>
        </w:tc>
        <w:tc>
          <w:tcPr>
            <w:tcW w:type="dxa" w:w="6803"/>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Yes — see Section 12. Countries: at least Germany (Frankfurt API/DB design), plus countries of Vercel, Cloudflare and Resend once confirmed. NCSA authorisation required.</w:t>
            </w:r>
          </w:p>
        </w:tc>
      </w:tr>
      <w:tr>
        <w:tc>
          <w:tcPr>
            <w:tcW w:type="dxa" w:w="2835"/>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Retention</w:t>
            </w:r>
          </w:p>
        </w:tc>
        <w:tc>
          <w:tcPr>
            <w:tcW w:type="dxa" w:w="6803"/>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See Section 14. Destroy in a way that cannot be rebuilt when the period ends (Art. 52 last paragraph).</w:t>
            </w:r>
          </w:p>
        </w:tc>
      </w:tr>
    </w:tbl>
    <w:p/>
    <w:p>
      <w:pPr>
        <w:pStyle w:val="Heading1"/>
        <w:spacing w:before="320" w:after="120"/>
      </w:pPr>
      <w:r>
        <w:rPr>
          <w:rFonts w:ascii="Calibri" w:hAnsi="Calibri"/>
          <w:color w:val="05131D"/>
        </w:rPr>
        <w:t>22. Checklist for legal partners</w:t>
      </w:r>
    </w:p>
    <w:p>
      <w:pPr>
        <w:pStyle w:val="ListNumber"/>
        <w:spacing w:after="60" w:line="269" w:lineRule="auto"/>
      </w:pPr>
      <w:r>
        <w:rPr>
          <w:rFonts w:ascii="Calibri" w:hAnsi="Calibri" w:eastAsia="Calibri"/>
          <w:b w:val="0"/>
          <w:i w:val="0"/>
          <w:color w:val="05131D"/>
          <w:sz w:val="22"/>
        </w:rPr>
        <w:t>Confirm the legal entity name, RDB number, physical address in Rwanda (Province, District, Sector), phone, and public email.</w:t>
      </w:r>
    </w:p>
    <w:p>
      <w:pPr>
        <w:pStyle w:val="ListNumber"/>
        <w:spacing w:after="60" w:line="269" w:lineRule="auto"/>
      </w:pPr>
      <w:r>
        <w:rPr>
          <w:rFonts w:ascii="Calibri" w:hAnsi="Calibri" w:eastAsia="Calibri"/>
          <w:b w:val="0"/>
          <w:i w:val="0"/>
          <w:color w:val="05131D"/>
          <w:sz w:val="22"/>
        </w:rPr>
        <w:t>Decide Controller, Processor, or both, using Section 3 of this report.</w:t>
      </w:r>
    </w:p>
    <w:p>
      <w:pPr>
        <w:pStyle w:val="ListNumber"/>
        <w:spacing w:after="60" w:line="269" w:lineRule="auto"/>
      </w:pPr>
      <w:r>
        <w:rPr>
          <w:rFonts w:ascii="Calibri" w:hAnsi="Calibri" w:eastAsia="Calibri"/>
          <w:b w:val="0"/>
          <w:i w:val="0"/>
          <w:color w:val="05131D"/>
          <w:sz w:val="22"/>
        </w:rPr>
        <w:t>Appoint a Data Protection Officer; publish contact details; include them on both forms.</w:t>
      </w:r>
    </w:p>
    <w:p>
      <w:pPr>
        <w:pStyle w:val="ListNumber"/>
        <w:spacing w:after="60" w:line="269" w:lineRule="auto"/>
      </w:pPr>
      <w:r>
        <w:rPr>
          <w:rFonts w:ascii="Calibri" w:hAnsi="Calibri" w:eastAsia="Calibri"/>
          <w:b w:val="0"/>
          <w:i w:val="0"/>
          <w:color w:val="05131D"/>
          <w:sz w:val="22"/>
        </w:rPr>
        <w:t>If the company is not established in Rwanda, appoint a written representative in Rwanda (Article 39).</w:t>
      </w:r>
    </w:p>
    <w:p>
      <w:pPr>
        <w:pStyle w:val="ListNumber"/>
        <w:spacing w:after="60" w:line="269" w:lineRule="auto"/>
      </w:pPr>
      <w:r>
        <w:rPr>
          <w:rFonts w:ascii="Calibri" w:hAnsi="Calibri" w:eastAsia="Calibri"/>
          <w:b w:val="0"/>
          <w:i w:val="0"/>
          <w:color w:val="05131D"/>
          <w:sz w:val="22"/>
        </w:rPr>
        <w:t>Complete Controller form Sections 2–6 using Sections 6–13 of this report. Entity sector: Education and Digital services.</w:t>
      </w:r>
    </w:p>
    <w:p>
      <w:pPr>
        <w:pStyle w:val="ListNumber"/>
        <w:spacing w:after="60" w:line="269" w:lineRule="auto"/>
      </w:pPr>
      <w:r>
        <w:rPr>
          <w:rFonts w:ascii="Calibri" w:hAnsi="Calibri" w:eastAsia="Calibri"/>
          <w:b w:val="0"/>
          <w:i w:val="0"/>
          <w:color w:val="05131D"/>
          <w:sz w:val="22"/>
        </w:rPr>
        <w:t>Complete Processor form the same way, listing each client university as controller and attaching (or committing to) written Article 4 contracts.</w:t>
      </w:r>
    </w:p>
    <w:p>
      <w:pPr>
        <w:pStyle w:val="ListNumber"/>
        <w:spacing w:after="60" w:line="269" w:lineRule="auto"/>
      </w:pPr>
      <w:r>
        <w:rPr>
          <w:rFonts w:ascii="Calibri" w:hAnsi="Calibri" w:eastAsia="Calibri"/>
          <w:b w:val="0"/>
          <w:i w:val="0"/>
          <w:color w:val="05131D"/>
          <w:sz w:val="22"/>
        </w:rPr>
        <w:t>File separate NCSA applications for transfer outside Rwanda and for storage outside Rwanda unless and until all personal data at rest is in Rwanda.</w:t>
      </w:r>
    </w:p>
    <w:p>
      <w:pPr>
        <w:pStyle w:val="ListNumber"/>
        <w:spacing w:after="60" w:line="269" w:lineRule="auto"/>
      </w:pPr>
      <w:r>
        <w:rPr>
          <w:rFonts w:ascii="Calibri" w:hAnsi="Calibri" w:eastAsia="Calibri"/>
          <w:b w:val="0"/>
          <w:i w:val="0"/>
          <w:color w:val="05131D"/>
          <w:sz w:val="22"/>
        </w:rPr>
        <w:t>Put processor contracts in place with Vercel, Render, the database host, Cloudflare, Resend, and payment providers — including security and breach-notice duties.</w:t>
      </w:r>
    </w:p>
    <w:p>
      <w:pPr>
        <w:pStyle w:val="ListNumber"/>
        <w:spacing w:after="60" w:line="269" w:lineRule="auto"/>
      </w:pPr>
      <w:r>
        <w:rPr>
          <w:rFonts w:ascii="Calibri" w:hAnsi="Calibri" w:eastAsia="Calibri"/>
          <w:b w:val="0"/>
          <w:i w:val="0"/>
          <w:color w:val="05131D"/>
          <w:sz w:val="22"/>
        </w:rPr>
        <w:t>Put a customer Data Processing Agreement in the StackEDU contract so every university knows it is the controller and StackForgeAI is the processor.</w:t>
      </w:r>
    </w:p>
    <w:p>
      <w:pPr>
        <w:pStyle w:val="ListNumber"/>
        <w:spacing w:after="60" w:line="269" w:lineRule="auto"/>
      </w:pPr>
      <w:r>
        <w:rPr>
          <w:rFonts w:ascii="Calibri" w:hAnsi="Calibri" w:eastAsia="Calibri"/>
          <w:b w:val="0"/>
          <w:i w:val="0"/>
          <w:color w:val="05131D"/>
          <w:sz w:val="22"/>
        </w:rPr>
        <w:t>Approve a privacy notice for Apply and for staff (Article 42), in a language people understand (Kinyarwanda / English / French as appropriate).</w:t>
      </w:r>
    </w:p>
    <w:p>
      <w:pPr>
        <w:pStyle w:val="ListNumber"/>
        <w:spacing w:after="60" w:line="269" w:lineRule="auto"/>
      </w:pPr>
      <w:r>
        <w:rPr>
          <w:rFonts w:ascii="Calibri" w:hAnsi="Calibri" w:eastAsia="Calibri"/>
          <w:b w:val="0"/>
          <w:i w:val="0"/>
          <w:color w:val="05131D"/>
          <w:sz w:val="22"/>
        </w:rPr>
        <w:t>Approve a breach playbook (48 hours / 72 hours).</w:t>
      </w:r>
    </w:p>
    <w:p>
      <w:pPr>
        <w:pStyle w:val="ListNumber"/>
        <w:spacing w:after="60" w:line="269" w:lineRule="auto"/>
      </w:pPr>
      <w:r>
        <w:rPr>
          <w:rFonts w:ascii="Calibri" w:hAnsi="Calibri" w:eastAsia="Calibri"/>
          <w:b w:val="0"/>
          <w:i w:val="0"/>
          <w:color w:val="05131D"/>
          <w:sz w:val="22"/>
        </w:rPr>
        <w:t>Approve retention periods with each institution (especially academic records versus rejected applications).</w:t>
      </w:r>
    </w:p>
    <w:p>
      <w:pPr>
        <w:pStyle w:val="ListNumber"/>
        <w:spacing w:after="60" w:line="269" w:lineRule="auto"/>
      </w:pPr>
      <w:r>
        <w:rPr>
          <w:rFonts w:ascii="Calibri" w:hAnsi="Calibri" w:eastAsia="Calibri"/>
          <w:b w:val="0"/>
          <w:i w:val="0"/>
          <w:color w:val="05131D"/>
          <w:sz w:val="22"/>
        </w:rPr>
        <w:t>Commission a DPIA for admissions files (ID + medical insurance + photos) and for any automated at-risk scoring that could affect a student.</w:t>
      </w:r>
    </w:p>
    <w:p>
      <w:pPr>
        <w:pStyle w:val="ListNumber"/>
        <w:spacing w:after="60" w:line="269" w:lineRule="auto"/>
      </w:pPr>
      <w:r>
        <w:rPr>
          <w:rFonts w:ascii="Calibri" w:hAnsi="Calibri" w:eastAsia="Calibri"/>
          <w:b w:val="0"/>
          <w:i w:val="0"/>
          <w:color w:val="05131D"/>
          <w:sz w:val="22"/>
        </w:rPr>
        <w:t>Do not tick “we do not process sensitive data”. Do not tick “we do not transfer outside Rwanda” unless that becomes true.</w:t>
      </w:r>
    </w:p>
    <w:p>
      <w:pPr>
        <w:pStyle w:val="ListNumber"/>
        <w:spacing w:after="60" w:line="269" w:lineRule="auto"/>
      </w:pPr>
      <w:r>
        <w:rPr>
          <w:rFonts w:ascii="Calibri" w:hAnsi="Calibri" w:eastAsia="Calibri"/>
          <w:b w:val="0"/>
          <w:i w:val="0"/>
          <w:color w:val="05131D"/>
          <w:sz w:val="22"/>
        </w:rPr>
        <w:t>After the certificate is issued, diary the renewal (apply 45 working days before expiry — Article 33) and the 15-working-day change notice (Article 32).</w:t>
      </w:r>
    </w:p>
    <w:p>
      <w:pPr>
        <w:pStyle w:val="Heading1"/>
        <w:spacing w:before="320" w:after="120"/>
      </w:pPr>
      <w:r>
        <w:rPr>
          <w:rFonts w:ascii="Calibri" w:hAnsi="Calibri"/>
          <w:color w:val="05131D"/>
        </w:rPr>
        <w:t>23. Limits of this report</w:t>
      </w:r>
    </w:p>
    <w:p>
      <w:pPr>
        <w:pStyle w:val="ListBullet"/>
        <w:spacing w:after="60" w:line="269" w:lineRule="auto"/>
      </w:pPr>
      <w:r>
        <w:rPr>
          <w:rFonts w:ascii="Calibri" w:hAnsi="Calibri" w:eastAsia="Calibri"/>
          <w:b w:val="0"/>
          <w:i w:val="0"/>
          <w:color w:val="05131D"/>
          <w:sz w:val="22"/>
        </w:rPr>
        <w:t>This is a technical and legal-briefing document from the product and from the published DPP Law pages. It is not a substitute for a lawyer’s opinion or for NCSA’s decision.</w:t>
      </w:r>
    </w:p>
    <w:p>
      <w:pPr>
        <w:pStyle w:val="ListBullet"/>
        <w:spacing w:after="60" w:line="269" w:lineRule="auto"/>
      </w:pPr>
      <w:r>
        <w:rPr>
          <w:rFonts w:ascii="Calibri" w:hAnsi="Calibri" w:eastAsia="Calibri"/>
          <w:b w:val="0"/>
          <w:i w:val="0"/>
          <w:color w:val="05131D"/>
          <w:sz w:val="22"/>
        </w:rPr>
        <w:t>Live cloud regions should be re-checked in the Vercel, Render, database and R2 dashboards on the day of filing. Regions can change.</w:t>
      </w:r>
    </w:p>
    <w:p>
      <w:pPr>
        <w:pStyle w:val="ListBullet"/>
        <w:spacing w:after="60" w:line="269" w:lineRule="auto"/>
      </w:pPr>
      <w:r>
        <w:rPr>
          <w:rFonts w:ascii="Calibri" w:hAnsi="Calibri" w:eastAsia="Calibri"/>
          <w:b w:val="0"/>
          <w:i w:val="0"/>
          <w:color w:val="05131D"/>
          <w:sz w:val="22"/>
        </w:rPr>
        <w:t>Company particulars (directors, shareholding, RDB number, DPO identity) are not in the software and must be filled by the company.</w:t>
      </w:r>
    </w:p>
    <w:p>
      <w:pPr>
        <w:pStyle w:val="ListBullet"/>
        <w:spacing w:after="60" w:line="269" w:lineRule="auto"/>
      </w:pPr>
      <w:r>
        <w:rPr>
          <w:rFonts w:ascii="Calibri" w:hAnsi="Calibri" w:eastAsia="Calibri"/>
          <w:b w:val="0"/>
          <w:i w:val="0"/>
          <w:color w:val="05131D"/>
          <w:sz w:val="22"/>
        </w:rPr>
        <w:t>Demo data in local seed databases (for example student@sfu.ac.rw) is for development. Production client data is in that client’s institution database.</w:t>
      </w:r>
    </w:p>
    <w:p>
      <w:pPr>
        <w:pStyle w:val="Heading1"/>
        <w:spacing w:before="320" w:after="120"/>
      </w:pPr>
      <w:r>
        <w:rPr>
          <w:rFonts w:ascii="Calibri" w:hAnsi="Calibri"/>
          <w:color w:val="05131D"/>
        </w:rPr>
        <w:t>24. Short closing statement counsel may adapt</w:t>
      </w:r>
    </w:p>
    <w:p>
      <w:pPr>
        <w:spacing w:after="160" w:before="0" w:line="276" w:lineRule="auto"/>
      </w:pPr>
      <w:r>
        <w:rPr>
          <w:rFonts w:ascii="Calibri" w:hAnsi="Calibri" w:eastAsia="Calibri"/>
          <w:b w:val="0"/>
          <w:i w:val="0"/>
          <w:color w:val="05131D"/>
          <w:sz w:val="22"/>
        </w:rPr>
        <w:t>StackEDU is an education platform. It collects the data a Rwandan tertiary institution needs to admit a person, teach them, assess them, collect fees, and keep a safe official file. That includes ordinary identity and contact data, and some sensitive data (family contacts, disability/accommodation notes, medical insurance documents, and a photograph). Each institution’s records are kept in a separate database. StackForgeAI typically processes that data as a processor for the institution, and as a controller for platform login routing, security logs, billing and its own staff. Production hosting currently uses facilities outside Rwanda, so NCSA registration must be paired with the correct foreign-transfer and foreign-storage authorisations until data at rest is held in Rwanda. We do not sell personal data. We will appoint a Data Protection Officer, keep a record of processing, and notify NCSA of personal data breaches within the legal time limits.</w:t>
      </w:r>
    </w:p>
    <w:p>
      <w:pPr>
        <w:pStyle w:val="Heading1"/>
        <w:spacing w:before="320" w:after="120"/>
      </w:pPr>
      <w:r>
        <w:rPr>
          <w:rFonts w:ascii="Calibri" w:hAnsi="Calibri"/>
          <w:color w:val="05131D"/>
        </w:rPr>
        <w:t>Annex A — Law articles used</w:t>
      </w:r>
    </w:p>
    <w:p>
      <w:pPr>
        <w:spacing w:after="160" w:before="0" w:line="276" w:lineRule="auto"/>
      </w:pPr>
      <w:r>
        <w:rPr>
          <w:rFonts w:ascii="Calibri" w:hAnsi="Calibri" w:eastAsia="Calibri"/>
          <w:b w:val="0"/>
          <w:i w:val="0"/>
          <w:color w:val="05131D"/>
          <w:sz w:val="20"/>
        </w:rPr>
        <w:t>Articles 1–3 (purpose, scope, definitions); 4–17 (processing quality, consent, children, sensitive data, logging, records); 18–26 (rights); 27–28 (NCSA); 29–36 (registration); 37–47 (principles, DPO, notices, breaches, lawful grounds, security); 48–52 (transfer, storage in Rwanda, retention); 53–63 (fines and offences); 64–70 (appeals, compensation, transitional). Source: https://dpo.gov.rw/dpp-law/</w:t>
      </w:r>
    </w:p>
    <w:p>
      <w:pPr>
        <w:pStyle w:val="Heading1"/>
        <w:spacing w:before="320" w:after="120"/>
      </w:pPr>
      <w:r>
        <w:rPr>
          <w:rFonts w:ascii="Calibri" w:hAnsi="Calibri"/>
          <w:color w:val="05131D"/>
        </w:rPr>
        <w:t>Annex B — Form tick summary (quick card)</w:t>
      </w:r>
    </w:p>
    <w:tbl>
      <w:tblPr>
        <w:tblW w:type="auto" w:w="0"/>
        <w:jc w:val="center"/>
        <w:tblLayout w:type="autofit"/>
        <w:tblLook w:firstColumn="1" w:firstRow="1" w:lastColumn="0" w:lastRow="0" w:noHBand="0" w:noVBand="1" w:val="04A0"/>
      </w:tblPr>
      <w:tblGrid>
        <w:gridCol w:w="4706"/>
        <w:gridCol w:w="4706"/>
      </w:tblGrid>
      <w:tr>
        <w:tc>
          <w:tcPr>
            <w:tcW w:type="dxa" w:w="3118"/>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Form question</w:t>
            </w:r>
          </w:p>
        </w:tc>
        <w:tc>
          <w:tcPr>
            <w:tcW w:type="dxa" w:w="652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8"/>
              </w:rPr>
              <w:t>Recommended tick / answer</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Nature of entity</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Private</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Entity sector</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Education; Digital services</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Sensitive personal data applicable?</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Yes</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Sensitive types</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Family details; health status; medical records (insurance / disability notes); biometric-adjacent photo. Not: race, religion, politics, sexual life, criminal records (unless a future feature).</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Processor involvement (Controller form)</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Yes — hosting, email, storage, payments</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Controllers listed (Processor form)</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Each client institution + StackForgeAI for platform-only data</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Written contracts?</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Must be Yes before or with filing — do not tick Yes if contracts are not signed</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Transfer outside Rwanda</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Applicable — list countries after confirming live regions</w:t>
            </w:r>
          </w:p>
        </w:tc>
      </w:tr>
      <w:tr>
        <w:tc>
          <w:tcPr>
            <w:tcW w:type="dxa" w:w="3118"/>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Store personal data outside Rwanda?</w:t>
            </w:r>
          </w:p>
        </w:tc>
        <w:tc>
          <w:tcPr>
            <w:tcW w:type="dxa" w:w="652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8"/>
              </w:rPr>
              <w:t>Yes, under the current architecture, unless already migrated</w:t>
            </w:r>
          </w:p>
        </w:tc>
      </w:tr>
      <w:tr>
        <w:tc>
          <w:tcPr>
            <w:tcW w:type="dxa" w:w="3118"/>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Grounds used most often</w:t>
            </w:r>
          </w:p>
        </w:tc>
        <w:tc>
          <w:tcPr>
            <w:tcW w:type="dxa" w:w="652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8"/>
              </w:rPr>
              <w:t>Contractual necessity; consent (sensitive and optional fields); legitimate interest (security); legal obligation (official student records); public interest / official authority for public universities</w:t>
            </w:r>
          </w:p>
        </w:tc>
      </w:tr>
    </w:tbl>
    <w:p/>
    <w:p>
      <w:pPr>
        <w:spacing w:before="360"/>
      </w:pPr>
      <w:r>
        <w:rPr>
          <w:rFonts w:ascii="Calibri" w:hAnsi="Calibri" w:eastAsia="Calibri"/>
          <w:b w:val="0"/>
          <w:i/>
          <w:color w:val="475569"/>
          <w:sz w:val="20"/>
        </w:rPr>
        <w:t>End of report</w:t>
      </w:r>
    </w:p>
    <w:p>
      <w:pPr>
        <w:spacing w:after="160" w:before="0" w:line="276" w:lineRule="auto"/>
      </w:pPr>
      <w:r>
        <w:rPr>
          <w:rFonts w:ascii="Calibri" w:hAnsi="Calibri" w:eastAsia="Calibri"/>
          <w:b w:val="0"/>
          <w:i/>
          <w:color w:val="05131D"/>
          <w:sz w:val="20"/>
        </w:rPr>
        <w:t>Prepared from the StackEDU EMS codebase and from Law No. 058/2021 of 13/10/2021 as published by the Data Protection &amp; Privacy Office. Please proof against the live hosting dashboards and the company’s corporate records before filing.</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75569"/>
        <w:sz w:val="16"/>
      </w:rPr>
      <w:t xml:space="preserve">StackForgeAI  |  Rwanda Data Protection &amp; Privacy Office registration pack  |  Page </w:t>
    </w:r>
    <w:r>
      <w:rPr>
        <w:rFonts w:ascii="Calibri" w:hAnsi="Calibri" w:eastAsia="Calibri"/>
        <w:b w:val="0"/>
        <w:i w:val="0"/>
        <w:color w:val="4755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val="0"/>
        <w:color w:val="475569"/>
        <w:sz w:val="16"/>
      </w:rPr>
      <w:t>StackEDU  ·  Confidential — for legal counsel  ·  Law No. 058/2021 of 13/10/2021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