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544E0">
      <w:pPr>
        <w:pStyle w:val="36"/>
        <w:jc w:val="both"/>
      </w:pPr>
      <w:r>
        <w:rPr>
          <w:b/>
        </w:rPr>
        <w:t xml:space="preserve"> Payrol</w:t>
      </w:r>
      <w:r>
        <w:rPr>
          <w:rFonts w:hint="default"/>
          <w:b/>
          <w:lang w:val="en-GB"/>
        </w:rPr>
        <w:t xml:space="preserve">l </w:t>
      </w:r>
      <w:r>
        <w:rPr>
          <w:b/>
        </w:rPr>
        <w:t>Rules</w:t>
      </w:r>
    </w:p>
    <w:p w14:paraId="035DFA44">
      <w:pPr>
        <w:jc w:val="center"/>
      </w:pPr>
    </w:p>
    <w:p w14:paraId="41C4DB78">
      <w:r>
        <w:t>The following rules reflect the confirmed PAYE, rent relief, pension, NHF and effective-date requirements to be implemented in the StackHR payroll compliance engine.</w:t>
      </w:r>
    </w:p>
    <w:p w14:paraId="37DD0A6B">
      <w:pPr>
        <w:pStyle w:val="2"/>
      </w:pPr>
      <w:r>
        <w:t>1. PAYE Tax Bands &amp; Rates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291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DA1EDFF">
            <w:pPr>
              <w:spacing w:after="0" w:line="240" w:lineRule="auto"/>
            </w:pPr>
            <w:r>
              <w:t>Annual Chargeable Income Band</w:t>
            </w:r>
          </w:p>
        </w:tc>
        <w:tc>
          <w:tcPr>
            <w:tcW w:w="4968" w:type="dxa"/>
            <w:vAlign w:val="center"/>
          </w:tcPr>
          <w:p w14:paraId="10881C8B">
            <w:pPr>
              <w:spacing w:after="0" w:line="240" w:lineRule="auto"/>
            </w:pPr>
            <w:r>
              <w:t>Tax Rate</w:t>
            </w:r>
          </w:p>
        </w:tc>
      </w:tr>
      <w:tr w14:paraId="03693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9F2E3CB">
            <w:pPr>
              <w:spacing w:after="0" w:line="240" w:lineRule="auto"/>
            </w:pPr>
            <w:r>
              <w:t>First ₦800,000</w:t>
            </w:r>
          </w:p>
        </w:tc>
        <w:tc>
          <w:tcPr>
            <w:tcW w:w="4968" w:type="dxa"/>
            <w:vAlign w:val="center"/>
          </w:tcPr>
          <w:p w14:paraId="591A8F46">
            <w:pPr>
              <w:spacing w:after="0" w:line="240" w:lineRule="auto"/>
            </w:pPr>
            <w:r>
              <w:t>0%</w:t>
            </w:r>
          </w:p>
        </w:tc>
      </w:tr>
      <w:tr w14:paraId="3F49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A8E36EE">
            <w:pPr>
              <w:spacing w:after="0" w:line="240" w:lineRule="auto"/>
            </w:pPr>
            <w:r>
              <w:t>Next ₦2,200,000</w:t>
            </w:r>
          </w:p>
        </w:tc>
        <w:tc>
          <w:tcPr>
            <w:tcW w:w="4968" w:type="dxa"/>
            <w:vAlign w:val="center"/>
          </w:tcPr>
          <w:p w14:paraId="69F94FA3">
            <w:pPr>
              <w:spacing w:after="0" w:line="240" w:lineRule="auto"/>
            </w:pPr>
            <w:r>
              <w:t>15%</w:t>
            </w:r>
          </w:p>
        </w:tc>
      </w:tr>
      <w:tr w14:paraId="6D3B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ACE6359">
            <w:pPr>
              <w:spacing w:after="0" w:line="240" w:lineRule="auto"/>
            </w:pPr>
            <w:r>
              <w:t>Next ₦9,000,000</w:t>
            </w:r>
          </w:p>
        </w:tc>
        <w:tc>
          <w:tcPr>
            <w:tcW w:w="4968" w:type="dxa"/>
            <w:vAlign w:val="center"/>
          </w:tcPr>
          <w:p w14:paraId="559AA697">
            <w:pPr>
              <w:spacing w:after="0" w:line="240" w:lineRule="auto"/>
            </w:pPr>
            <w:r>
              <w:t>18%</w:t>
            </w:r>
          </w:p>
        </w:tc>
      </w:tr>
      <w:tr w14:paraId="37DF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76C7F37">
            <w:pPr>
              <w:spacing w:after="0" w:line="240" w:lineRule="auto"/>
            </w:pPr>
            <w:r>
              <w:t>Next ₦13,000,000</w:t>
            </w:r>
          </w:p>
        </w:tc>
        <w:tc>
          <w:tcPr>
            <w:tcW w:w="4968" w:type="dxa"/>
            <w:vAlign w:val="center"/>
          </w:tcPr>
          <w:p w14:paraId="09184372">
            <w:pPr>
              <w:spacing w:after="0" w:line="240" w:lineRule="auto"/>
            </w:pPr>
            <w:r>
              <w:t>21%</w:t>
            </w:r>
          </w:p>
        </w:tc>
      </w:tr>
      <w:tr w14:paraId="0687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CB4B5D0">
            <w:pPr>
              <w:spacing w:after="0" w:line="240" w:lineRule="auto"/>
            </w:pPr>
            <w:r>
              <w:t>Next ₦25,000,000</w:t>
            </w:r>
          </w:p>
        </w:tc>
        <w:tc>
          <w:tcPr>
            <w:tcW w:w="4968" w:type="dxa"/>
            <w:vAlign w:val="center"/>
          </w:tcPr>
          <w:p w14:paraId="086C6693">
            <w:pPr>
              <w:spacing w:after="0" w:line="240" w:lineRule="auto"/>
            </w:pPr>
            <w:r>
              <w:t>23%</w:t>
            </w:r>
          </w:p>
        </w:tc>
      </w:tr>
      <w:tr w14:paraId="28626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FE0CD3C">
            <w:pPr>
              <w:spacing w:after="0" w:line="240" w:lineRule="auto"/>
            </w:pPr>
            <w:r>
              <w:t>Above ₦50,000,000</w:t>
            </w:r>
          </w:p>
        </w:tc>
        <w:tc>
          <w:tcPr>
            <w:tcW w:w="4968" w:type="dxa"/>
            <w:vAlign w:val="center"/>
          </w:tcPr>
          <w:p w14:paraId="0FB91839">
            <w:pPr>
              <w:spacing w:after="0" w:line="240" w:lineRule="auto"/>
            </w:pPr>
            <w:r>
              <w:t>25%</w:t>
            </w:r>
          </w:p>
        </w:tc>
      </w:tr>
    </w:tbl>
    <w:p w14:paraId="2FE66515">
      <w:r>
        <w:t>The first ₦800,000 of annual chargeable income is tax-free. The rates are applied progressively.</w:t>
      </w:r>
    </w:p>
    <w:p w14:paraId="731FAB31">
      <w:pPr>
        <w:pStyle w:val="2"/>
      </w:pPr>
      <w:r>
        <w:t>2. CRA vs. Rent Relief</w:t>
      </w:r>
    </w:p>
    <w:p w14:paraId="0FD60F8B">
      <w:r>
        <w:t>The Consolidated Relief Allowance (CRA) has been replaced by Rent Relief.</w:t>
      </w:r>
    </w:p>
    <w:p w14:paraId="163FA5A9">
      <w:r>
        <w:rPr>
          <w:b/>
        </w:rPr>
        <w:t xml:space="preserve">Rent Relief formula: </w:t>
      </w:r>
      <w:r>
        <w:t>Minimum of 20% of declared rent paid or ₦500,000.</w:t>
      </w:r>
    </w:p>
    <w:p w14:paraId="4B74AA23">
      <w:r>
        <w:t>Rent Relief is not automatic. It applies only where the employee declares rent paid and provides the required basis or proof. The default Rent Relief value in the engine must be ₦0.</w:t>
      </w:r>
    </w:p>
    <w:p w14:paraId="564866DD">
      <w:pPr>
        <w:pStyle w:val="2"/>
      </w:pPr>
      <w:r>
        <w:t>3. Pension Contribution</w:t>
      </w:r>
    </w:p>
    <w:p w14:paraId="143604A3">
      <w:pPr>
        <w:pStyle w:val="23"/>
      </w:pPr>
      <w:r>
        <w:t>Employee contribution: 8%</w:t>
      </w:r>
    </w:p>
    <w:p w14:paraId="11EBFA9E">
      <w:pPr>
        <w:pStyle w:val="23"/>
      </w:pPr>
      <w:r>
        <w:t>Employer contribution: 10%</w:t>
      </w:r>
    </w:p>
    <w:p w14:paraId="597D106E">
      <w:pPr>
        <w:pStyle w:val="23"/>
      </w:pPr>
      <w:r>
        <w:t>Contribution basis: Basic Salary + Housing Allowance + Transport Allowance (BHT), not total gross earnings.</w:t>
      </w:r>
      <w:r>
        <w:rPr>
          <w:rFonts w:hint="default"/>
          <w:lang w:val="en-GB"/>
        </w:rPr>
        <w:t xml:space="preserve"> But it is not fixed for some organizations; this is just the minimum. Make it configurable.</w:t>
      </w:r>
    </w:p>
    <w:p w14:paraId="508C28D1">
      <w:pPr>
        <w:pStyle w:val="2"/>
      </w:pPr>
      <w:r>
        <w:t>4. NHF Contribution</w:t>
      </w:r>
    </w:p>
    <w:p w14:paraId="79633738">
      <w:pPr>
        <w:pStyle w:val="23"/>
      </w:pPr>
      <w:r>
        <w:t>Contribution rate: 2.5% of Basic Salary.</w:t>
      </w:r>
    </w:p>
    <w:p w14:paraId="760438EC">
      <w:pPr>
        <w:pStyle w:val="23"/>
      </w:pPr>
      <w:r>
        <w:t xml:space="preserve">NHF is </w:t>
      </w:r>
      <w:r>
        <w:rPr>
          <w:lang w:val="en-GB"/>
        </w:rPr>
        <w:t>voluntary</w:t>
      </w:r>
      <w:bookmarkStart w:id="0" w:name="_GoBack"/>
      <w:bookmarkEnd w:id="0"/>
      <w:r>
        <w:t xml:space="preserve"> and must not be deducted automatically.</w:t>
      </w:r>
    </w:p>
    <w:p w14:paraId="7A61D961">
      <w:pPr>
        <w:pStyle w:val="23"/>
      </w:pPr>
      <w:r>
        <w:t>The payroll engine must provide an NHF opt-in option.</w:t>
      </w:r>
    </w:p>
    <w:p w14:paraId="07FB87CF">
      <w:pPr>
        <w:pStyle w:val="2"/>
      </w:pPr>
      <w:r>
        <w:t>5. Effective Date</w:t>
      </w:r>
    </w:p>
    <w:p w14:paraId="6AC7D7FE">
      <w:r>
        <w:t>The Nigeria Tax Act 2025/2026 payroll calculation rules take effect from 1 January 2026.</w:t>
      </w:r>
    </w:p>
    <w:p w14:paraId="49EB0521">
      <w:pPr>
        <w:pStyle w:val="2"/>
      </w:pPr>
      <w:r>
        <w:t>Required Compliance Engine Configuration</w:t>
      </w:r>
    </w:p>
    <w:p w14:paraId="11874599">
      <w:pPr>
        <w:pStyle w:val="23"/>
      </w:pPr>
      <w:r>
        <w:t>PAYE progressive bands: 0%, 15%, 18%, 21%, 23%, 25%.</w:t>
      </w:r>
    </w:p>
    <w:p w14:paraId="3E855C2A">
      <w:pPr>
        <w:pStyle w:val="23"/>
      </w:pPr>
      <w:r>
        <w:t>First ₦800,000 annual chargeable income: 0%.</w:t>
      </w:r>
    </w:p>
    <w:p w14:paraId="62395156">
      <w:pPr>
        <w:pStyle w:val="23"/>
      </w:pPr>
      <w:r>
        <w:t>Rent declaration field.</w:t>
      </w:r>
    </w:p>
    <w:p w14:paraId="43D5B144">
      <w:pPr>
        <w:pStyle w:val="23"/>
      </w:pPr>
      <w:r>
        <w:t>Default Rent Relief: ₦0.</w:t>
      </w:r>
    </w:p>
    <w:p w14:paraId="5329F6B8">
      <w:pPr>
        <w:pStyle w:val="23"/>
      </w:pPr>
      <w:r>
        <w:t>Rent Relief: 20% of declared rent paid, capped at ₦500,000.</w:t>
      </w:r>
    </w:p>
    <w:p w14:paraId="088394C8">
      <w:pPr>
        <w:pStyle w:val="23"/>
      </w:pPr>
      <w:r>
        <w:t>Pension: 8% employee and 10% employer on Basic + Housing + Transport.</w:t>
      </w:r>
    </w:p>
    <w:p w14:paraId="11A2C06E">
      <w:pPr>
        <w:pStyle w:val="23"/>
      </w:pPr>
      <w:r>
        <w:t>NHF: 2.5% of Basic Salary.</w:t>
      </w:r>
    </w:p>
    <w:p w14:paraId="3BFD8F2A">
      <w:pPr>
        <w:pStyle w:val="23"/>
      </w:pPr>
      <w:r>
        <w:t>NHF opt-in toggle; no automatic NHF deduction.</w:t>
      </w:r>
    </w:p>
    <w:p w14:paraId="0CA068C1">
      <w:pPr>
        <w:pStyle w:val="23"/>
      </w:pPr>
      <w:r>
        <w:t>Rule-set effective date: 1 January 2026.</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4E75C1"/>
    <w:rsid w:val="3A0A70C5"/>
    <w:rsid w:val="3B3C073C"/>
    <w:rsid w:val="4FF80240"/>
    <w:rsid w:val="59751451"/>
    <w:rsid w:val="60B8623B"/>
    <w:rsid w:val="6CCE0E86"/>
    <w:rsid w:val="6F7A21F2"/>
    <w:rsid w:val="790B20A3"/>
    <w:rsid w:val="7A3D37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274</Words>
  <Characters>1530</Characters>
  <Lines>0</Lines>
  <Paragraphs>0</Paragraphs>
  <TotalTime>8</TotalTime>
  <ScaleCrop>false</ScaleCrop>
  <LinksUpToDate>false</LinksUpToDate>
  <CharactersWithSpaces>1761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Mubarak Ahmad</cp:lastModifiedBy>
  <dcterms:modified xsi:type="dcterms:W3CDTF">2026-09-09T19:40:24Z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eyJoZGlkIjoiZGE3Y2I3OTRlNTA1NjUwZGY1NGI3NTM4NWZhMGI4N2IiLCJ1c2VySWQiOiIyNzY2NjU3ODc4MzkxIn0=</vt:lpwstr>
  </property>
  <property fmtid="{D5CDD505-2E9C-101B-9397-08002B2CF9AE}" pid="3" name="KSOProductBuildVer">
    <vt:lpwstr>1033-12.1.0.28485</vt:lpwstr>
  </property>
  <property fmtid="{D5CDD505-2E9C-101B-9397-08002B2CF9AE}" pid="4" name="ICV">
    <vt:lpwstr>9508052807004E26962079075ABD87FA_12</vt:lpwstr>
  </property>
</Properties>
</file>