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ISTQB FL 4.0 — Testing Concepts Reference</w:t>
      </w:r>
    </w:p>
    <w:p>
      <w:pPr>
        <w:pBdr>
          <w:bottom w:val="single" w:color="2E4057" w:sz="6" w:space="1"/>
        </w:pBdr>
        <w:spacing w:after="40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Quality characteristics · Test types · Test levels · Techniques · Mnemonics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Memory aid — ISO 25010 quality characteristics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Phrase: </w:t>
      </w: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Fried Potatoes Catch Unicorns, Running Snails Meet Purple Sheep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</w:tblGrid>
      <w:tr>
        <w:tc>
          <w:tcPr>
            <w:tcW w:type="dxa" w:w="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Letter</w:t>
            </w:r>
          </w:p>
        </w:tc>
        <w:tc>
          <w:tcPr>
            <w:tcW w:type="dxa" w:w="43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characteristic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suitability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efficiency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U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*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Testing concepts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ISTQB category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defines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Test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quality characteristic you verify — functional suitability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Non-functional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Test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quality characteristic you verify — performance, security, reliability, usability, compatibility, maintainability, portability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Black-box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Test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design tests — without access to internal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White-box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E"/>
                <w:sz w:val="18"/>
                <w:szCs w:val="18"/>
              </w:rPr>
              <w:t xml:space="preserve">Test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design tests — using internal code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in development you test — single component in isolation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in development you test — components working together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in development you test — complete integrated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in development you test — business requirements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Alpha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 (acceptance)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tests and where — internal users, inside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Beta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FA3"/>
                <w:sz w:val="18"/>
                <w:szCs w:val="18"/>
              </w:rPr>
              <w:t xml:space="preserve">Test level (acceptance)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tests and where — real external users, outside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Test scope/approach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user flow across all integrated systems and boundaries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Bottom-up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Integration testing 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of integration — lowest components first, needs drivers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Top-down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Integration testing 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of integration — highest component first, needs stubs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 bang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Integration testing 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components integrated at once, no gradual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Equivalence partitioning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technique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derive test cases — group inputs into partitions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Boundary value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technique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derive test cases — test at partition edges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table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technique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derive test cases — map condition combinations to outcomes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transition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technique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derive test cases — test valid and invalid state transitions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Positive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think about testing — valid inputs, expected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Negative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you think about testing — invalid inputs, unexpected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Requirement-based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Test design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Derives tests from requirements — overlaps with black-box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A/B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Business/product technique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Comparing two versions for business 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Risk-based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Test prioritization 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to test first based on probability and impact of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Smoke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strategy (§2.2.3)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 shallow check after new 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Sanity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strategy (§2.2.3)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 check after specific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strategy (§2.2.3)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Re-test system after any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Confirmation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strategy (§2.2.3)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Re-test specific fixed bug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Ad-hoc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Unplanned, unstructured, experience-driven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Monkey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Test execution 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unguided input with no plan — subtype of ad-hoc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Legend — category definitions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type — </w:t>
      </w:r>
      <w:r>
        <w:rPr>
          <w:rFonts w:ascii="Arial" w:cs="Arial" w:eastAsia="Arial" w:hAnsi="Arial"/>
          <w:sz w:val="20"/>
          <w:szCs w:val="20"/>
        </w:rPr>
        <w:t xml:space="preserve">Classifies testing by what quality characteristic you are verifying. Answers: what aspect of quality are we checking? Defined in ISTQB FL 4.0 §2.2.2.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level — </w:t>
      </w:r>
      <w:r>
        <w:rPr>
          <w:rFonts w:ascii="Arial" w:cs="Arial" w:eastAsia="Arial" w:hAnsi="Arial"/>
          <w:sz w:val="20"/>
          <w:szCs w:val="20"/>
        </w:rPr>
        <w:t xml:space="preserve">Classifies testing by where in the development lifecycle you are testing. Answers: how much of the system exists and is being tested right now? Defined in ISTQB FL 4.0 §2.2.1.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scope/approach — </w:t>
      </w:r>
      <w:r>
        <w:rPr>
          <w:rFonts w:ascii="Arial" w:cs="Arial" w:eastAsia="Arial" w:hAnsi="Arial"/>
          <w:sz w:val="20"/>
          <w:szCs w:val="20"/>
        </w:rPr>
        <w:t xml:space="preserve">Describes how much of the system is covered in a single test. Answers: are we testing one unit, one service, or the entire user journey from start to finish?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Integration testing strategy — </w:t>
      </w:r>
      <w:r>
        <w:rPr>
          <w:rFonts w:ascii="Arial" w:cs="Arial" w:eastAsia="Arial" w:hAnsi="Arial"/>
          <w:sz w:val="20"/>
          <w:szCs w:val="20"/>
        </w:rPr>
        <w:t xml:space="preserve">Classifies testing by the order and method of combining components. Answers: in what sequence do we plug components together and test them?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design technique — </w:t>
      </w:r>
      <w:r>
        <w:rPr>
          <w:rFonts w:ascii="Arial" w:cs="Arial" w:eastAsia="Arial" w:hAnsi="Arial"/>
          <w:sz w:val="20"/>
          <w:szCs w:val="20"/>
        </w:rPr>
        <w:t xml:space="preserve">A formal, structured method with specific rules for deriving test cases. Produces a defined, repeatable set of test cases. Answers: exactly how do I generate my test cases?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design approach — </w:t>
      </w:r>
      <w:r>
        <w:rPr>
          <w:rFonts w:ascii="Arial" w:cs="Arial" w:eastAsia="Arial" w:hAnsi="Arial"/>
          <w:sz w:val="20"/>
          <w:szCs w:val="20"/>
        </w:rPr>
        <w:t xml:space="preserve">A broader philosophy or direction for how you think about testing. Less formal than a technique — no fixed steps or defined output. Answers: what mindset or angle am I using?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prioritization strategy — </w:t>
      </w:r>
      <w:r>
        <w:rPr>
          <w:rFonts w:ascii="Arial" w:cs="Arial" w:eastAsia="Arial" w:hAnsi="Arial"/>
          <w:sz w:val="20"/>
          <w:szCs w:val="20"/>
        </w:rPr>
        <w:t xml:space="preserve">Determines what to test first based on external factors like risk, business value, or probability of failure. Does not define how to test — only what to test first.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execution strategy — </w:t>
      </w:r>
      <w:r>
        <w:rPr>
          <w:rFonts w:ascii="Arial" w:cs="Arial" w:eastAsia="Arial" w:hAnsi="Arial"/>
          <w:sz w:val="20"/>
          <w:szCs w:val="20"/>
        </w:rPr>
        <w:t xml:space="preserve">Determines when and how much to test during execution. Answers: do I run a quick check or a full regression? Triggered by specific events like a new build or a bug fix.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Test execution approach — </w:t>
      </w:r>
      <w:r>
        <w:rPr>
          <w:rFonts w:ascii="Arial" w:cs="Arial" w:eastAsia="Arial" w:hAnsi="Arial"/>
          <w:sz w:val="20"/>
          <w:szCs w:val="20"/>
        </w:rPr>
        <w:t xml:space="preserve">The style of test execution. Answers: am I following a script or exploring freely?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Business/product technique — </w:t>
      </w:r>
      <w:r>
        <w:rPr>
          <w:rFonts w:ascii="Arial" w:cs="Arial" w:eastAsia="Arial" w:hAnsi="Arial"/>
          <w:sz w:val="20"/>
          <w:szCs w:val="20"/>
        </w:rPr>
        <w:t xml:space="preserve">Not a QA technique in the strict sense. Used to make product or business decisions using data from real users.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Performance testing — subtypes reference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are sub-subtypes of performance testing, which itself is a subtype of non-functional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080"/>
        <w:gridCol w:w="1980"/>
      </w:tblGrid>
      <w:tr>
        <w:trPr>
          <w:tblHeader/>
        </w:trP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ISTQB name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 names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Ukrainian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 level</w:t>
            </w:r>
          </w:p>
        </w:tc>
        <w:tc>
          <w:tcPr>
            <w:tcW w:type="dxa" w:w="1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are looking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Навантажувальне тестування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expected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SLA at expected traffic?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Stress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Стрес-тестування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normal, gradual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does it break? How does it fail?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Spike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Спайк-тестування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→ extreme → normal, instantly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short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Survives sudden burst?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Soak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Endurance, Longevity, Stamina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Тестування витривалості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or moderate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long (hours/days)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Degrades slowly over time?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Flood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Об'ємне тестування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— but huge data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large amounts of data?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Тестування масштабованості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Adding resources actually helps?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Functional suitability sub-characteristics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Mnemonic: </w:t>
      </w:r>
      <w:r>
        <w:rPr>
          <w:rFonts w:ascii="Arial" w:cs="Arial" w:eastAsia="Arial" w:hAnsi="Arial"/>
          <w:b/>
          <w:bCs/>
          <w:color w:val="1A7A5E"/>
          <w:sz w:val="20"/>
          <w:szCs w:val="20"/>
        </w:rPr>
        <w:t xml:space="preserve">Complete Correct Apple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word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Sub-characteristic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required features exist — nothing is missing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give the right results with sufficient precision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Appropriateness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are actually useful for the user's real goals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Safety * — ISO 25010:2023 quality characteristic</w:t>
      </w:r>
    </w:p>
    <w:p>
      <w:pPr>
        <w:pBdr>
          <w:bottom w:val="single" w:color="A05C00" w:sz="4" w:space="1"/>
        </w:pBdr>
        <w:spacing w:after="200"/>
      </w:pPr>
      <w:r>
        <w:rPr>
          <w:rFonts w:ascii="Arial" w:cs="Arial" w:eastAsia="Arial" w:hAnsi="Arial"/>
          <w:b/>
          <w:bCs/>
          <w:color w:val="A05C00"/>
          <w:sz w:val="20"/>
          <w:szCs w:val="20"/>
        </w:rPr>
        <w:t xml:space="preserve">* </w:t>
      </w:r>
      <w:r>
        <w:rPr>
          <w:rFonts w:ascii="Arial" w:cs="Arial" w:eastAsia="Arial" w:hAnsi="Arial"/>
          <w:sz w:val="20"/>
          <w:szCs w:val="20"/>
        </w:rPr>
        <w:t xml:space="preserve">Safety is part of ISO/IEC 25010:2023 (updated version) but is </w:t>
      </w:r>
      <w:r>
        <w:rPr>
          <w:rFonts w:ascii="Arial" w:cs="Arial" w:eastAsia="Arial" w:hAnsi="Arial"/>
          <w:b/>
          <w:bCs/>
          <w:color w:val="A93226"/>
          <w:sz w:val="20"/>
          <w:szCs w:val="20"/>
        </w:rPr>
        <w:t xml:space="preserve">NOT listed in ISTQB FL 4.0 syllabus</w:t>
      </w:r>
      <w:r>
        <w:rPr>
          <w:rFonts w:ascii="Arial" w:cs="Arial" w:eastAsia="Arial" w:hAnsi="Arial"/>
          <w:sz w:val="20"/>
          <w:szCs w:val="20"/>
        </w:rPr>
        <w:t xml:space="preserve">. Do not include it in your exam answers. For senior QA interviews in safety-critical domains it is expected knowledge.</w:t>
      </w:r>
    </w:p>
    <w:p>
      <w:r>
        <w:rPr>
          <w:sz w:val="18"/>
          <w:szCs w:val="18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plain words: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the system avoid causing harm — to people, to data, to the environment — even when something goes wrong? If the system fails, does it fail safely rather than dangerously?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Sub-characteristic</w:t>
            </w:r>
          </w:p>
        </w:tc>
        <w:tc>
          <w:tcPr>
            <w:tcW w:type="dxa" w:w="70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 + 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constraint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operates within defined safe limits and cannot exceed them. Example: insulin pump software enforces a maximum dose limit regardless of what the calculation returns.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identification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situations that could lead to harm before they cause damage. Example: autonomous vehicle detects sensor inconsistency and flags it as a hazard before making a steering decision.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safe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system fails, it moves to a safe state rather than a dangerous one. Example: railway signalling system loses connection — all signals switch to red (stop), not green (proceed).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Hazard warning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warns users or operators before a dangerous situation occurs. Example: industrial robot arm detects a human in its work zone and triggers an alarm before stopping movement.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integration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integrates with other systems without introducing new hazards. Example: new software module integrated into a medical device does not interfere with existing life-critical functions.</w:t>
            </w:r>
          </w:p>
        </w:tc>
      </w:tr>
    </w:tbl>
    <w:sectPr>
      <w:pgSz w:w="15840" w:h="122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2026-06-19T06:22:38.237Z</dcterms:created>
  <dcterms:modified xsi:type="dcterms:W3CDTF">2026-06-19T06:22:38.238Z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