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8AE5" w14:textId="77777777" w:rsidR="003E24D5" w:rsidRDefault="00000000">
      <w:pPr>
        <w:spacing w:after="80"/>
      </w:pPr>
      <w:r>
        <w:rPr>
          <w:rFonts w:ascii="Calibri" w:hAnsi="Calibri"/>
          <w:b/>
          <w:color w:val="1A365D"/>
          <w:sz w:val="44"/>
        </w:rPr>
        <w:t>DSA3050A: E-Commerce Customer &amp; Sales Intelligence</w:t>
      </w:r>
    </w:p>
    <w:p w14:paraId="3CDA4E28" w14:textId="77777777" w:rsidR="003E24D5" w:rsidRDefault="00000000">
      <w:pPr>
        <w:spacing w:after="360"/>
      </w:pPr>
      <w:r>
        <w:rPr>
          <w:rFonts w:ascii="Calibri" w:hAnsi="Calibri"/>
          <w:b/>
          <w:color w:val="2B6CB0"/>
          <w:sz w:val="28"/>
        </w:rPr>
        <w:t>Section 9: Dashboard Pages Documentation</w:t>
      </w:r>
    </w:p>
    <w:p w14:paraId="1DF51BA4" w14:textId="77777777" w:rsidR="003E24D5" w:rsidRDefault="00000000">
      <w:pPr>
        <w:spacing w:after="320"/>
      </w:pPr>
      <w:r>
        <w:rPr>
          <w:rFonts w:ascii="Calibri" w:hAnsi="Calibri"/>
          <w:color w:val="2D3748"/>
        </w:rPr>
        <w:t>The Power BI report is structured into two core pages designed to provide executive leadership with high-level macro metrics alongside deep-dive operational and logistics insights. Below is the complete walkthrough and analytical breakdown of each dashboard page.</w:t>
      </w:r>
    </w:p>
    <w:p w14:paraId="5F322483" w14:textId="77777777" w:rsidR="003E24D5" w:rsidRDefault="003E24D5">
      <w:pPr>
        <w:pBdr>
          <w:bottom w:val="single" w:sz="12" w:space="1" w:color="1A365D"/>
        </w:pBdr>
        <w:spacing w:after="320"/>
      </w:pPr>
    </w:p>
    <w:p w14:paraId="21AFAFCD" w14:textId="77777777" w:rsidR="003E24D5" w:rsidRDefault="00000000">
      <w:pPr>
        <w:spacing w:before="240" w:after="160"/>
      </w:pPr>
      <w:r>
        <w:rPr>
          <w:rFonts w:ascii="Calibri" w:hAnsi="Calibri"/>
          <w:b/>
          <w:color w:val="1A365D"/>
          <w:sz w:val="32"/>
        </w:rPr>
        <w:t>9.1 Page 1: Executive Sales Dashboard</w:t>
      </w:r>
    </w:p>
    <w:p w14:paraId="6BF808C3" w14:textId="77777777" w:rsidR="003E24D5" w:rsidRDefault="00000000">
      <w:pPr>
        <w:spacing w:after="240"/>
      </w:pPr>
      <w:r>
        <w:rPr>
          <w:rFonts w:ascii="Calibri" w:hAnsi="Calibri"/>
          <w:color w:val="2D3748"/>
        </w:rPr>
        <w:t>This page provides executive leadership with a consolidated overview of macro-level sales performance, regional revenue distribution, top-performing product categories, and overall historical sales growth trends.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3E24D5" w14:paraId="171A506C" w14:textId="77777777">
        <w:trPr>
          <w:jc w:val="center"/>
        </w:trPr>
        <w:tc>
          <w:tcPr>
            <w:tcW w:w="93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25751102" w14:textId="34488669" w:rsidR="003E24D5" w:rsidRDefault="00BB6E60" w:rsidP="00BB6E60">
            <w:pPr>
              <w:pStyle w:val="Heading1"/>
              <w:jc w:val="center"/>
            </w:pPr>
            <w:r>
              <w:rPr>
                <w:noProof/>
              </w:rPr>
              <w:drawing>
                <wp:inline distT="0" distB="0" distL="0" distR="0" wp14:anchorId="0E6E3640" wp14:editId="2DE166AE">
                  <wp:extent cx="5600494" cy="3149081"/>
                  <wp:effectExtent l="0" t="0" r="635" b="0"/>
                  <wp:docPr id="137060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820" cy="31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BF8C7" w14:textId="77777777" w:rsidR="003E24D5" w:rsidRDefault="003E24D5">
      <w:pPr>
        <w:spacing w:after="120"/>
      </w:pPr>
    </w:p>
    <w:p w14:paraId="7FD3D74F" w14:textId="77777777" w:rsidR="003E24D5" w:rsidRDefault="00000000">
      <w:pPr>
        <w:spacing w:before="160" w:after="120"/>
      </w:pPr>
      <w:r>
        <w:rPr>
          <w:rFonts w:ascii="Calibri" w:hAnsi="Calibri"/>
          <w:b/>
          <w:color w:val="2B6CB0"/>
          <w:sz w:val="24"/>
        </w:rPr>
        <w:t>Key Components &amp; Visualizations:</w:t>
      </w:r>
    </w:p>
    <w:p w14:paraId="7CF7FCEA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lastRenderedPageBreak/>
        <w:t>Key Performance Indicators (KPI Cards):</w:t>
      </w:r>
    </w:p>
    <w:p w14:paraId="50AE89BA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Total Orders: </w:t>
      </w:r>
      <w:r>
        <w:rPr>
          <w:rFonts w:ascii="Calibri" w:hAnsi="Calibri"/>
          <w:color w:val="2D3748"/>
          <w:sz w:val="20"/>
        </w:rPr>
        <w:t>98.67K total orders processed across the Brazilian marketplace network.</w:t>
      </w:r>
    </w:p>
    <w:p w14:paraId="52E693FD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Total Revenue: </w:t>
      </w:r>
      <w:r>
        <w:rPr>
          <w:rFonts w:ascii="Calibri" w:hAnsi="Calibri"/>
          <w:color w:val="2D3748"/>
          <w:sz w:val="20"/>
        </w:rPr>
        <w:t>R$ 13.59M total gross sales generated (Sum of item price).</w:t>
      </w:r>
    </w:p>
    <w:p w14:paraId="72C82E91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Average Order Value (AOV): </w:t>
      </w:r>
      <w:r>
        <w:rPr>
          <w:rFonts w:ascii="Calibri" w:hAnsi="Calibri"/>
          <w:color w:val="2D3748"/>
          <w:sz w:val="20"/>
        </w:rPr>
        <w:t>R$ 120.65 average spend per order item.</w:t>
      </w:r>
    </w:p>
    <w:p w14:paraId="04AF72D5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t xml:space="preserve">Geographic Analysis (Map – Revenue by State): </w:t>
      </w:r>
      <w:r>
        <w:rPr>
          <w:rFonts w:ascii="Calibri" w:hAnsi="Calibri"/>
          <w:color w:val="2D3748"/>
          <w:sz w:val="21"/>
        </w:rPr>
        <w:t>A spatial map visualization displaying revenue density and order distribution across Brazilian states, highlighting sales concentration in key economic hubs (such as São Paulo and Rio de Janeiro).</w:t>
      </w:r>
    </w:p>
    <w:p w14:paraId="59D4F61F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t xml:space="preserve">Category Performance (Horizontal Bar Chart – Revenue by Product Category): </w:t>
      </w:r>
      <w:r>
        <w:rPr>
          <w:rFonts w:ascii="Calibri" w:hAnsi="Calibri"/>
          <w:color w:val="2D3748"/>
          <w:sz w:val="21"/>
        </w:rPr>
        <w:t>Ranks product categories by overall revenue generation. Top performing categories include:</w:t>
      </w:r>
    </w:p>
    <w:p w14:paraId="59F2EB90" w14:textId="77777777" w:rsidR="003E24D5" w:rsidRDefault="00000000">
      <w:pPr>
        <w:pStyle w:val="ListBullet2"/>
        <w:spacing w:after="40"/>
      </w:pPr>
      <w:r>
        <w:rPr>
          <w:rFonts w:ascii="Calibri" w:hAnsi="Calibri"/>
          <w:i/>
          <w:color w:val="2D3748"/>
          <w:sz w:val="20"/>
        </w:rPr>
        <w:t>1. beleza_saude (Health &amp; Beauty)</w:t>
      </w:r>
    </w:p>
    <w:p w14:paraId="5743C728" w14:textId="77777777" w:rsidR="003E24D5" w:rsidRDefault="00000000">
      <w:pPr>
        <w:pStyle w:val="ListBullet2"/>
        <w:spacing w:after="40"/>
      </w:pPr>
      <w:r>
        <w:rPr>
          <w:rFonts w:ascii="Calibri" w:hAnsi="Calibri"/>
          <w:i/>
          <w:color w:val="2D3748"/>
          <w:sz w:val="20"/>
        </w:rPr>
        <w:t>2. relogios_presentes (Watches &amp; Gifts)</w:t>
      </w:r>
    </w:p>
    <w:p w14:paraId="5E3C2D2F" w14:textId="77777777" w:rsidR="003E24D5" w:rsidRDefault="00000000">
      <w:pPr>
        <w:pStyle w:val="ListBullet2"/>
        <w:spacing w:after="40"/>
      </w:pPr>
      <w:r>
        <w:rPr>
          <w:rFonts w:ascii="Calibri" w:hAnsi="Calibri"/>
          <w:i/>
          <w:color w:val="2D3748"/>
          <w:sz w:val="20"/>
        </w:rPr>
        <w:t>3. cama_mesa_banho (Bed, Bath &amp; Table)</w:t>
      </w:r>
    </w:p>
    <w:p w14:paraId="459E543E" w14:textId="77777777" w:rsidR="003E24D5" w:rsidRDefault="00000000">
      <w:pPr>
        <w:pStyle w:val="ListBullet2"/>
        <w:spacing w:after="40"/>
      </w:pPr>
      <w:r>
        <w:rPr>
          <w:rFonts w:ascii="Calibri" w:hAnsi="Calibri"/>
          <w:i/>
          <w:color w:val="2D3748"/>
          <w:sz w:val="20"/>
        </w:rPr>
        <w:t>4. esporte_lazer (Sports &amp; Leisure)</w:t>
      </w:r>
    </w:p>
    <w:p w14:paraId="6612A523" w14:textId="77777777" w:rsidR="003E24D5" w:rsidRDefault="00000000">
      <w:pPr>
        <w:pStyle w:val="ListBullet2"/>
        <w:spacing w:after="40"/>
      </w:pPr>
      <w:r>
        <w:rPr>
          <w:rFonts w:ascii="Calibri" w:hAnsi="Calibri"/>
          <w:i/>
          <w:color w:val="2D3748"/>
          <w:sz w:val="20"/>
        </w:rPr>
        <w:t>5. informatica_acessorios (Computers &amp; Accessories)</w:t>
      </w:r>
    </w:p>
    <w:p w14:paraId="74562F04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t>Temporal Growth &amp; Interactivity:</w:t>
      </w:r>
    </w:p>
    <w:p w14:paraId="29569D99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Revenue Trend Over Time: </w:t>
      </w:r>
      <w:r>
        <w:rPr>
          <w:rFonts w:ascii="Calibri" w:hAnsi="Calibri"/>
          <w:color w:val="2D3748"/>
          <w:sz w:val="20"/>
        </w:rPr>
        <w:t>Line chart mapping monthly revenue trajectory from 2017 through 2019 to track seasonal peaks, holiday spikes, and multi-year trajectory.</w:t>
      </w:r>
    </w:p>
    <w:p w14:paraId="7AE8B4D8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Year Slicer: </w:t>
      </w:r>
      <w:r>
        <w:rPr>
          <w:rFonts w:ascii="Calibri" w:hAnsi="Calibri"/>
          <w:color w:val="2D3748"/>
          <w:sz w:val="20"/>
        </w:rPr>
        <w:t>Interactive checkbox slicer allowing stakeholders to isolate and filter performance across specific years (2017, 2018, 2019).</w:t>
      </w:r>
    </w:p>
    <w:p w14:paraId="4C6EC07F" w14:textId="77777777" w:rsidR="003E24D5" w:rsidRDefault="003E24D5">
      <w:pPr>
        <w:spacing w:after="240"/>
      </w:pPr>
    </w:p>
    <w:p w14:paraId="4FDBB60E" w14:textId="77777777" w:rsidR="003E24D5" w:rsidRDefault="00000000">
      <w:pPr>
        <w:spacing w:before="320" w:after="160"/>
      </w:pPr>
      <w:r>
        <w:rPr>
          <w:rFonts w:ascii="Calibri" w:hAnsi="Calibri"/>
          <w:b/>
          <w:color w:val="1A365D"/>
          <w:sz w:val="32"/>
        </w:rPr>
        <w:t>9.2 Page 2: Customer Experience &amp; Delivery Dashboard</w:t>
      </w:r>
    </w:p>
    <w:p w14:paraId="3AE422D5" w14:textId="77777777" w:rsidR="003E24D5" w:rsidRDefault="00000000">
      <w:pPr>
        <w:spacing w:after="240"/>
      </w:pPr>
      <w:r>
        <w:rPr>
          <w:rFonts w:ascii="Calibri" w:hAnsi="Calibri"/>
          <w:color w:val="2D3748"/>
        </w:rPr>
        <w:t>This page focuses on customer satisfaction, logistics and fulfillment efficiency, and analyzing the direct correlation between delivery lead times and customer review ratings across different Brazilian geographic regions.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3E24D5" w14:paraId="28F4ABD3" w14:textId="77777777" w:rsidTr="00BB6E60">
        <w:trPr>
          <w:jc w:val="center"/>
        </w:trPr>
        <w:tc>
          <w:tcPr>
            <w:tcW w:w="93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5D1926DC" w14:textId="532D45CF" w:rsidR="003E24D5" w:rsidRDefault="003E24D5" w:rsidP="00BB6E60">
            <w:pPr>
              <w:spacing w:before="400" w:after="400"/>
            </w:pPr>
          </w:p>
        </w:tc>
      </w:tr>
      <w:tr w:rsidR="00BB6E60" w14:paraId="2E118270" w14:textId="77777777" w:rsidTr="00BB6E60">
        <w:trPr>
          <w:jc w:val="center"/>
        </w:trPr>
        <w:tc>
          <w:tcPr>
            <w:tcW w:w="93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664632A3" w14:textId="70C5D9C0" w:rsidR="00BB6E60" w:rsidRDefault="00BB6E60">
            <w:pPr>
              <w:spacing w:before="400" w:after="40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3F9D7F" wp14:editId="5D419013">
                  <wp:extent cx="5665794" cy="3186404"/>
                  <wp:effectExtent l="0" t="0" r="0" b="0"/>
                  <wp:docPr id="20726001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342" cy="3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098B1" w14:textId="77777777" w:rsidR="003E24D5" w:rsidRDefault="003E24D5">
      <w:pPr>
        <w:spacing w:after="120"/>
      </w:pPr>
    </w:p>
    <w:p w14:paraId="739E8C60" w14:textId="77777777" w:rsidR="003E24D5" w:rsidRDefault="00000000">
      <w:pPr>
        <w:spacing w:before="160" w:after="120"/>
      </w:pPr>
      <w:r>
        <w:rPr>
          <w:rFonts w:ascii="Calibri" w:hAnsi="Calibri"/>
          <w:b/>
          <w:color w:val="2B6CB0"/>
          <w:sz w:val="24"/>
        </w:rPr>
        <w:t>Key Components &amp; Visualizations:</w:t>
      </w:r>
    </w:p>
    <w:p w14:paraId="247C230E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t>Customer Satisfaction &amp; Fulfillment KPIs:</w:t>
      </w:r>
    </w:p>
    <w:p w14:paraId="4959A461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Average Review Score: </w:t>
      </w:r>
      <w:r>
        <w:rPr>
          <w:rFonts w:ascii="Calibri" w:hAnsi="Calibri"/>
          <w:color w:val="2D3748"/>
          <w:sz w:val="20"/>
        </w:rPr>
        <w:t>4.09 / 5.00 overall satisfaction rating across all fulfilled customer orders.</w:t>
      </w:r>
    </w:p>
    <w:p w14:paraId="0F040458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Delivery Performance Breakdown (Donut Chart): </w:t>
      </w:r>
      <w:r>
        <w:rPr>
          <w:rFonts w:ascii="Calibri" w:hAnsi="Calibri"/>
          <w:color w:val="2D3748"/>
          <w:sz w:val="20"/>
        </w:rPr>
        <w:t>Visualizes the proportional distribution of order status categories (On Time, Late, and In Transit / Pending).</w:t>
      </w:r>
    </w:p>
    <w:p w14:paraId="2827550C" w14:textId="77777777" w:rsidR="003E24D5" w:rsidRDefault="00000000">
      <w:pPr>
        <w:pStyle w:val="ListBullet"/>
        <w:spacing w:after="60"/>
      </w:pPr>
      <w:r>
        <w:rPr>
          <w:rFonts w:ascii="Calibri" w:hAnsi="Calibri"/>
          <w:b/>
          <w:color w:val="2D3748"/>
          <w:sz w:val="21"/>
        </w:rPr>
        <w:t>Fulfillment Efficiency vs. Satisfaction (Scatter Plot – Delivery Time vs Review Score by State):</w:t>
      </w:r>
    </w:p>
    <w:p w14:paraId="07F6863A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X-Axis: </w:t>
      </w:r>
      <w:r>
        <w:rPr>
          <w:rFonts w:ascii="Calibri" w:hAnsi="Calibri"/>
          <w:color w:val="2D3748"/>
          <w:sz w:val="20"/>
        </w:rPr>
        <w:t>delivery_duration_dates (Total shipping fulfillment duration in days).</w:t>
      </w:r>
    </w:p>
    <w:p w14:paraId="178822E2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Y-Axis: </w:t>
      </w:r>
      <w:r>
        <w:rPr>
          <w:rFonts w:ascii="Calibri" w:hAnsi="Calibri"/>
          <w:color w:val="2D3748"/>
          <w:sz w:val="20"/>
        </w:rPr>
        <w:t>Average of review_score (Customer rating scale from 1 to 5).</w:t>
      </w:r>
    </w:p>
    <w:p w14:paraId="5CAEFA56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Legend / Color Context: </w:t>
      </w:r>
      <w:r>
        <w:rPr>
          <w:rFonts w:ascii="Calibri" w:hAnsi="Calibri"/>
          <w:color w:val="2D3748"/>
          <w:sz w:val="20"/>
        </w:rPr>
        <w:t>customer_state (Color-coded across all Brazilian state regions).</w:t>
      </w:r>
    </w:p>
    <w:p w14:paraId="3FC6A4F6" w14:textId="77777777" w:rsidR="003E24D5" w:rsidRDefault="00000000">
      <w:pPr>
        <w:pStyle w:val="ListBullet2"/>
        <w:spacing w:after="40"/>
      </w:pPr>
      <w:r>
        <w:rPr>
          <w:rFonts w:ascii="Calibri" w:hAnsi="Calibri"/>
          <w:b/>
          <w:color w:val="2D3748"/>
          <w:sz w:val="20"/>
        </w:rPr>
        <w:t xml:space="preserve">Key Analytical Insight: </w:t>
      </w:r>
      <w:r>
        <w:rPr>
          <w:rFonts w:ascii="Calibri" w:hAnsi="Calibri"/>
          <w:color w:val="2D3748"/>
          <w:sz w:val="20"/>
        </w:rPr>
        <w:t>Reveals a strong inverse relationship between shipping duration and review scores across all regions; as delivery lead times exceed 15–20 days, average review scores decline steeply from 4–5 star levels down to 1–2 star ratings.</w:t>
      </w:r>
    </w:p>
    <w:sectPr w:rsidR="003E24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051019">
    <w:abstractNumId w:val="8"/>
  </w:num>
  <w:num w:numId="2" w16cid:durableId="692924205">
    <w:abstractNumId w:val="6"/>
  </w:num>
  <w:num w:numId="3" w16cid:durableId="1544824998">
    <w:abstractNumId w:val="5"/>
  </w:num>
  <w:num w:numId="4" w16cid:durableId="749735525">
    <w:abstractNumId w:val="4"/>
  </w:num>
  <w:num w:numId="5" w16cid:durableId="712003531">
    <w:abstractNumId w:val="7"/>
  </w:num>
  <w:num w:numId="6" w16cid:durableId="706107500">
    <w:abstractNumId w:val="3"/>
  </w:num>
  <w:num w:numId="7" w16cid:durableId="1915047966">
    <w:abstractNumId w:val="2"/>
  </w:num>
  <w:num w:numId="8" w16cid:durableId="1962570096">
    <w:abstractNumId w:val="1"/>
  </w:num>
  <w:num w:numId="9" w16cid:durableId="83257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4D5"/>
    <w:rsid w:val="00440461"/>
    <w:rsid w:val="00AA1D8D"/>
    <w:rsid w:val="00B47730"/>
    <w:rsid w:val="00BB6E60"/>
    <w:rsid w:val="00CB0664"/>
    <w:rsid w:val="00CE2255"/>
    <w:rsid w:val="00E92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63998"/>
  <w14:defaultImageDpi w14:val="300"/>
  <w15:docId w15:val="{F5FFF03D-EAED-497C-8270-61369185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Smurf 4KT</cp:lastModifiedBy>
  <cp:revision>3</cp:revision>
  <dcterms:created xsi:type="dcterms:W3CDTF">2026-08-05T09:16:00Z</dcterms:created>
  <dcterms:modified xsi:type="dcterms:W3CDTF">2026-08-05T09:49:00Z</dcterms:modified>
  <cp:category/>
</cp:coreProperties>
</file>