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B214" w14:textId="40B04F15" w:rsidR="002C78DD" w:rsidRPr="002C78DD" w:rsidRDefault="002C78DD" w:rsidP="002C78DD">
      <w:pPr>
        <w:pStyle w:val="ListParagraph"/>
        <w:numPr>
          <w:ilvl w:val="0"/>
          <w:numId w:val="1"/>
        </w:numPr>
      </w:pPr>
      <w:r w:rsidRPr="002C78DD">
        <w:rPr>
          <w:b/>
          <w:bCs/>
        </w:rPr>
        <w:t xml:space="preserve"> (Product Mix):</w:t>
      </w:r>
      <w:r w:rsidRPr="002C78DD">
        <w:t xml:space="preserve"> High-margin concentration exists in "Set" and "Kurta" apparel lines, which account for over 65% of absolute revenue. Stock levels must scale linearly with these high-velocity segments.</w:t>
      </w:r>
    </w:p>
    <w:p w14:paraId="5E64A785" w14:textId="1CA3C038" w:rsidR="002C78DD" w:rsidRPr="002C78DD" w:rsidRDefault="002C78DD" w:rsidP="002C78DD">
      <w:pPr>
        <w:pStyle w:val="ListParagraph"/>
        <w:numPr>
          <w:ilvl w:val="0"/>
          <w:numId w:val="1"/>
        </w:numPr>
      </w:pPr>
      <w:r w:rsidRPr="002C78DD">
        <w:rPr>
          <w:b/>
          <w:bCs/>
        </w:rPr>
        <w:t xml:space="preserve"> (Logistics Pipeline):</w:t>
      </w:r>
      <w:r w:rsidRPr="002C78DD">
        <w:t xml:space="preserve"> Amazon-fulfilled orders yield significantly lower operational cancellation metrics compared to self-managed Merchant shipping routes, identifying Fulfilled by Amazon (FBA) as the primary driver of successful completions.</w:t>
      </w:r>
    </w:p>
    <w:p w14:paraId="567B75B4" w14:textId="5151F596" w:rsidR="002C78DD" w:rsidRPr="002C78DD" w:rsidRDefault="002C78DD" w:rsidP="002C78DD">
      <w:pPr>
        <w:pStyle w:val="ListParagraph"/>
        <w:numPr>
          <w:ilvl w:val="0"/>
          <w:numId w:val="1"/>
        </w:numPr>
      </w:pPr>
      <w:r w:rsidRPr="002C78DD">
        <w:rPr>
          <w:b/>
          <w:bCs/>
        </w:rPr>
        <w:t xml:space="preserve"> (Regional Footprint):</w:t>
      </w:r>
      <w:r w:rsidRPr="002C78DD">
        <w:t xml:space="preserve"> Geographic distribution is heavily skewed toward Tier-1 clusters (specifically Maharashtra and Karnataka). Regionalized customer retention programs should focus ad spend within these major hubs.</w:t>
      </w:r>
    </w:p>
    <w:p w14:paraId="3F3CFB64" w14:textId="77777777" w:rsidR="00A144AF" w:rsidRDefault="00A144AF"/>
    <w:sectPr w:rsidR="00A14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636F3"/>
    <w:multiLevelType w:val="hybridMultilevel"/>
    <w:tmpl w:val="662C448C"/>
    <w:lvl w:ilvl="0" w:tplc="E8B2A0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13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DD"/>
    <w:rsid w:val="002C78DD"/>
    <w:rsid w:val="00301BF0"/>
    <w:rsid w:val="00810C47"/>
    <w:rsid w:val="00A144AF"/>
    <w:rsid w:val="00D3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B30A"/>
  <w15:chartTrackingRefBased/>
  <w15:docId w15:val="{7DF63B9F-3EA1-4E63-8F3E-EA1A4070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2026-06-27T19:51:00Z</cp:lastPrinted>
  <dcterms:created xsi:type="dcterms:W3CDTF">2026-06-27T19:50:00Z</dcterms:created>
  <dcterms:modified xsi:type="dcterms:W3CDTF">2026-06-28T17:38:00Z</dcterms:modified>
</cp:coreProperties>
</file>