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Arial" w:cs="Arial" w:eastAsia="Arial" w:hAnsi="Arial"/>
          <w:b w:val="1"/>
          <w:bCs w:val="1"/>
          <w:sz w:val="56"/>
          <w:szCs w:val="56"/>
          <w:rtl w:val="0"/>
        </w:rPr>
        <w:t xml:space="preserve">Projektarbeit</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Arial" w:cs="Arial" w:eastAsia="Arial" w:hAnsi="Arial"/>
          <w:color w:val="606060"/>
          <w:sz w:val="32"/>
          <w:szCs w:val="32"/>
          <w:rtl w:val="0"/>
        </w:rPr>
        <w:t xml:space="preserve">zur IHK-Zertifizierung Data Analyst (IHK)</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after="240" w:before="240" w:lineRule="auto"/>
        <w:jc w:val="center"/>
        <w:rPr>
          <w:b w:val="1"/>
          <w:bCs w:val="1"/>
          <w:sz w:val="40"/>
          <w:szCs w:val="40"/>
        </w:rPr>
      </w:pPr>
      <w:r w:rsidDel="00000000" w:rsidR="00000000" w:rsidRPr="00000000">
        <w:rPr>
          <w:b w:val="1"/>
          <w:bCs w:val="1"/>
          <w:sz w:val="40"/>
          <w:szCs w:val="40"/>
          <w:rtl w:val="0"/>
        </w:rPr>
        <w:t xml:space="preserve">Prognose des monatlichen Energieverbrauchs und Erkennung von Anomalien</w:t>
      </w:r>
    </w:p>
    <w:p w:rsidR="00000000" w:rsidDel="00000000" w:rsidP="00000000" w:rsidRDefault="00000000" w:rsidRPr="00000000" w14:paraId="0000000A">
      <w:pPr>
        <w:spacing w:after="200" w:before="0" w:lineRule="auto"/>
        <w:ind w:left="720" w:firstLine="0"/>
        <w:jc w:val="center"/>
        <w:rPr>
          <w:b w:val="1"/>
          <w:bCs w:val="1"/>
          <w:sz w:val="40"/>
          <w:szCs w:val="40"/>
        </w:rPr>
      </w:pPr>
      <w:r w:rsidDel="00000000" w:rsidR="00000000" w:rsidRPr="00000000">
        <w:rPr>
          <w:rtl w:val="0"/>
        </w:rPr>
      </w:r>
    </w:p>
    <w:p w:rsidR="00000000" w:rsidDel="00000000" w:rsidP="00000000" w:rsidRDefault="00000000" w:rsidRPr="00000000" w14:paraId="0000000B">
      <w:pPr>
        <w:spacing w:after="240" w:before="240" w:lineRule="auto"/>
        <w:jc w:val="center"/>
        <w:rPr>
          <w:i w:val="1"/>
          <w:iCs w:val="1"/>
        </w:rPr>
      </w:pPr>
      <w:r w:rsidDel="00000000" w:rsidR="00000000" w:rsidRPr="00000000">
        <w:rPr>
          <w:i w:val="1"/>
          <w:iCs w:val="1"/>
          <w:rtl w:val="0"/>
        </w:rPr>
        <w:t xml:space="preserve">Analyse von Verbrauchsmustern, Identifikation von Anomalien und Prognose des monatlichen Stromverbrauchs bei der StadtWerke Westhafen GmbH</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tbl>
      <w:tblPr>
        <w:tblStyle w:val="Table1"/>
        <w:tblW w:w="8504.0" w:type="dxa"/>
        <w:jc w:val="left"/>
        <w:tblInd w:w="-115.0" w:type="dxa"/>
        <w:tblLayout w:type="fixed"/>
        <w:tblLook w:val="0400"/>
      </w:tblPr>
      <w:tblGrid>
        <w:gridCol w:w="2835"/>
        <w:gridCol w:w="5669"/>
        <w:tblGridChange w:id="0">
          <w:tblGrid>
            <w:gridCol w:w="2835"/>
            <w:gridCol w:w="5669"/>
          </w:tblGrid>
        </w:tblGridChange>
      </w:tblGrid>
      <w:tr>
        <w:trPr>
          <w:cantSplit w:val="0"/>
          <w:tblHeader w:val="0"/>
        </w:trPr>
        <w:tc>
          <w:tcPr/>
          <w:p w:rsidR="00000000" w:rsidDel="00000000" w:rsidP="00000000" w:rsidRDefault="00000000" w:rsidRPr="00000000" w14:paraId="00000016">
            <w:pPr>
              <w:rPr/>
            </w:pPr>
            <w:r w:rsidDel="00000000" w:rsidR="00000000" w:rsidRPr="00000000">
              <w:rPr>
                <w:b w:val="1"/>
                <w:bCs w:val="1"/>
                <w:rtl w:val="0"/>
              </w:rPr>
              <w:t xml:space="preserve">Gruppe</w:t>
            </w:r>
            <w:r w:rsidDel="00000000" w:rsidR="00000000" w:rsidRPr="00000000">
              <w:rPr>
                <w:rtl w:val="0"/>
              </w:rPr>
            </w:r>
          </w:p>
        </w:tc>
        <w:tc>
          <w:tcPr/>
          <w:p w:rsidR="00000000" w:rsidDel="00000000" w:rsidP="00000000" w:rsidRDefault="00000000" w:rsidRPr="00000000" w14:paraId="00000017">
            <w:pPr>
              <w:rPr/>
            </w:pPr>
            <w:r w:rsidDel="00000000" w:rsidR="00000000" w:rsidRPr="00000000">
              <w:rPr>
                <w:rtl w:val="0"/>
              </w:rPr>
              <w:t xml:space="preserve">6</w:t>
            </w:r>
          </w:p>
        </w:tc>
      </w:tr>
      <w:tr>
        <w:trPr>
          <w:cantSplit w:val="0"/>
          <w:tblHeader w:val="0"/>
        </w:trPr>
        <w:tc>
          <w:tcPr/>
          <w:p w:rsidR="00000000" w:rsidDel="00000000" w:rsidP="00000000" w:rsidRDefault="00000000" w:rsidRPr="00000000" w14:paraId="00000018">
            <w:pPr>
              <w:rPr/>
            </w:pPr>
            <w:r w:rsidDel="00000000" w:rsidR="00000000" w:rsidRPr="00000000">
              <w:rPr>
                <w:b w:val="1"/>
                <w:bCs w:val="1"/>
                <w:rtl w:val="0"/>
              </w:rPr>
              <w:t xml:space="preserve">Teilnehmende</w:t>
            </w:r>
            <w:r w:rsidDel="00000000" w:rsidR="00000000" w:rsidRPr="00000000">
              <w:rPr>
                <w:rtl w:val="0"/>
              </w:rPr>
            </w:r>
          </w:p>
        </w:tc>
        <w:tc>
          <w:tcPr/>
          <w:p w:rsidR="00000000" w:rsidDel="00000000" w:rsidP="00000000" w:rsidRDefault="00000000" w:rsidRPr="00000000" w14:paraId="00000019">
            <w:pPr>
              <w:rPr/>
            </w:pPr>
            <w:r w:rsidDel="00000000" w:rsidR="00000000" w:rsidRPr="00000000">
              <w:rPr>
                <w:rtl w:val="0"/>
              </w:rPr>
              <w:t xml:space="preserve">Iana Kraievska · [2] · [3]</w:t>
            </w:r>
          </w:p>
        </w:tc>
      </w:tr>
      <w:tr>
        <w:trPr>
          <w:cantSplit w:val="0"/>
          <w:tblHeader w:val="0"/>
        </w:trPr>
        <w:tc>
          <w:tcPr/>
          <w:p w:rsidR="00000000" w:rsidDel="00000000" w:rsidP="00000000" w:rsidRDefault="00000000" w:rsidRPr="00000000" w14:paraId="0000001A">
            <w:pPr>
              <w:rPr/>
            </w:pPr>
            <w:r w:rsidDel="00000000" w:rsidR="00000000" w:rsidRPr="00000000">
              <w:rPr>
                <w:b w:val="1"/>
                <w:bCs w:val="1"/>
                <w:rtl w:val="0"/>
              </w:rPr>
              <w:t xml:space="preserve">Projektphase</w:t>
            </w:r>
            <w:r w:rsidDel="00000000" w:rsidR="00000000" w:rsidRPr="00000000">
              <w:rPr>
                <w:rtl w:val="0"/>
              </w:rPr>
            </w:r>
          </w:p>
        </w:tc>
        <w:tc>
          <w:tcPr/>
          <w:p w:rsidR="00000000" w:rsidDel="00000000" w:rsidP="00000000" w:rsidRDefault="00000000" w:rsidRPr="00000000" w14:paraId="0000001B">
            <w:pPr>
              <w:rPr/>
            </w:pPr>
            <w:r w:rsidDel="00000000" w:rsidR="00000000" w:rsidRPr="00000000">
              <w:rPr>
                <w:rtl w:val="0"/>
              </w:rPr>
              <w:t xml:space="preserve">7.09.2024 – 30.09.2024</w:t>
            </w:r>
          </w:p>
        </w:tc>
      </w:tr>
      <w:tr>
        <w:trPr>
          <w:cantSplit w:val="0"/>
          <w:tblHeader w:val="0"/>
        </w:trPr>
        <w:tc>
          <w:tcPr/>
          <w:p w:rsidR="00000000" w:rsidDel="00000000" w:rsidP="00000000" w:rsidRDefault="00000000" w:rsidRPr="00000000" w14:paraId="0000001C">
            <w:pPr>
              <w:rPr/>
            </w:pPr>
            <w:r w:rsidDel="00000000" w:rsidR="00000000" w:rsidRPr="00000000">
              <w:rPr>
                <w:b w:val="1"/>
                <w:bCs w:val="1"/>
                <w:rtl w:val="0"/>
              </w:rPr>
              <w:t xml:space="preserve">Tutor / Tutorin</w:t>
            </w:r>
            <w:r w:rsidDel="00000000" w:rsidR="00000000" w:rsidRPr="00000000">
              <w:rPr>
                <w:rtl w:val="0"/>
              </w:rPr>
            </w:r>
          </w:p>
        </w:tc>
        <w:tc>
          <w:tcPr/>
          <w:p w:rsidR="00000000" w:rsidDel="00000000" w:rsidP="00000000" w:rsidRDefault="00000000" w:rsidRPr="00000000" w14:paraId="0000001D">
            <w:pPr>
              <w:rPr/>
            </w:pPr>
            <w:r w:rsidDel="00000000" w:rsidR="00000000" w:rsidRPr="00000000">
              <w:rPr>
                <w:color w:val="222222"/>
                <w:rtl w:val="0"/>
              </w:rPr>
              <w:t xml:space="preserve">Anuar Santoyo</w:t>
            </w:r>
            <w:r w:rsidDel="00000000" w:rsidR="00000000" w:rsidRPr="00000000">
              <w:rPr>
                <w:rtl w:val="0"/>
              </w:rPr>
            </w:r>
          </w:p>
        </w:tc>
      </w:tr>
      <w:tr>
        <w:trPr>
          <w:cantSplit w:val="0"/>
          <w:tblHeader w:val="0"/>
        </w:trPr>
        <w:tc>
          <w:tcPr/>
          <w:p w:rsidR="00000000" w:rsidDel="00000000" w:rsidP="00000000" w:rsidRDefault="00000000" w:rsidRPr="00000000" w14:paraId="0000001E">
            <w:pPr>
              <w:rPr/>
            </w:pPr>
            <w:r w:rsidDel="00000000" w:rsidR="00000000" w:rsidRPr="00000000">
              <w:rPr>
                <w:b w:val="1"/>
                <w:bCs w:val="1"/>
                <w:rtl w:val="0"/>
              </w:rPr>
              <w:t xml:space="preserve">Datum der Abgabe</w:t>
            </w:r>
            <w:r w:rsidDel="00000000" w:rsidR="00000000" w:rsidRPr="00000000">
              <w:rPr>
                <w:rtl w:val="0"/>
              </w:rPr>
            </w:r>
          </w:p>
        </w:tc>
        <w:tc>
          <w:tcPr/>
          <w:p w:rsidR="00000000" w:rsidDel="00000000" w:rsidP="00000000" w:rsidRDefault="00000000" w:rsidRPr="00000000" w14:paraId="0000001F">
            <w:pPr>
              <w:rPr/>
            </w:pPr>
            <w:r w:rsidDel="00000000" w:rsidR="00000000" w:rsidRPr="00000000">
              <w:rPr>
                <w:rtl w:val="0"/>
              </w:rPr>
              <w:t xml:space="preserve">24.09.2024</w:t>
            </w:r>
          </w:p>
        </w:tc>
      </w:tr>
    </w:tbl>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rPr/>
      </w:pPr>
      <w:r w:rsidDel="00000000" w:rsidR="00000000" w:rsidRPr="00000000">
        <w:rPr>
          <w:rtl w:val="0"/>
        </w:rPr>
        <w:t xml:space="preserve">Inhaltsverzeichnis</w:t>
      </w:r>
    </w:p>
    <w:p w:rsidR="00000000" w:rsidDel="00000000" w:rsidP="00000000" w:rsidRDefault="00000000" w:rsidRPr="00000000" w14:paraId="00000022">
      <w:pPr>
        <w:rPr/>
      </w:pPr>
      <w:sdt>
        <w:sdtPr>
          <w:id w:val="-377829517"/>
          <w:tag w:val="goog_rdk_0"/>
        </w:sdtPr>
        <w:sdtContent>
          <w:r w:rsidDel="00000000" w:rsidR="00000000" w:rsidRPr="00000000">
            <w:rPr>
              <w:rFonts w:ascii="Arial Unicode MS" w:cs="Arial Unicode MS" w:eastAsia="Arial Unicode MS" w:hAnsi="Arial Unicode MS"/>
              <w:i w:val="1"/>
              <w:iCs w:val="1"/>
              <w:color w:val="606060"/>
              <w:sz w:val="20"/>
              <w:szCs w:val="20"/>
              <w:rtl w:val="0"/>
            </w:rPr>
            <w:t xml:space="preserve">Hinweis: In Word automatisch via 'Referenzen → Inhaltsverzeichnis' generieren. Diese Vorlage liefert die Kapitelstruktur, die das TOC aufnehmen wird.</w:t>
          </w:r>
        </w:sdtContent>
      </w:sdt>
      <w:r w:rsidDel="00000000" w:rsidR="00000000" w:rsidRPr="00000000">
        <w:rPr>
          <w:rtl w:val="0"/>
        </w:rPr>
      </w:r>
    </w:p>
    <w:p w:rsidR="00000000" w:rsidDel="00000000" w:rsidP="00000000" w:rsidRDefault="00000000" w:rsidRPr="00000000" w14:paraId="00000023">
      <w:pPr>
        <w:jc w:val="left"/>
        <w:rPr/>
      </w:pPr>
      <w:r>
        <w:t>1   Ausgangssituation und Ist-Zustand ............................... S. 4</w:t>
      </w:r>
    </w:p>
    <w:p w:rsidR="00000000" w:rsidDel="00000000" w:rsidP="00000000" w:rsidRDefault="00000000" w:rsidRPr="00000000" w14:paraId="00000024">
      <w:pPr>
        <w:jc w:val="left"/>
        <w:rPr/>
      </w:pPr>
      <w:r>
        <w:t>2   Machine Learning Canvas ............................................. S. 5</w:t>
      </w:r>
    </w:p>
    <w:p w:rsidR="00000000" w:rsidDel="00000000" w:rsidP="00000000" w:rsidRDefault="00000000" w:rsidRPr="00000000" w14:paraId="00000025">
      <w:pPr>
        <w:jc w:val="left"/>
        <w:rPr/>
      </w:pPr>
      <w:r>
        <w:t>3   Projektplanung und -durchführung ................................. S. 7</w:t>
      </w:r>
    </w:p>
    <w:p w:rsidR="00000000" w:rsidDel="00000000" w:rsidP="00000000" w:rsidRDefault="00000000" w:rsidRPr="00000000" w14:paraId="00000026">
      <w:pPr>
        <w:jc w:val="left"/>
        <w:rPr/>
      </w:pPr>
      <w:r>
        <w:t>4   Workflow, Datenmodell und Ergebnisse ........................ S. 12</w:t>
      </w:r>
    </w:p>
    <w:p w:rsidR="00000000" w:rsidDel="00000000" w:rsidP="00000000" w:rsidRDefault="00000000" w:rsidRPr="00000000" w14:paraId="00000027">
      <w:pPr>
        <w:jc w:val="left"/>
        <w:rPr/>
      </w:pPr>
      <w:r>
        <w:t>Literaturverzeichnis ........................................................ S. 20</w:t>
      </w:r>
    </w:p>
    <w:p w:rsidR="00000000" w:rsidDel="00000000" w:rsidP="00000000" w:rsidRDefault="00000000" w:rsidRPr="00000000" w14:paraId="00000028">
      <w:pPr>
        <w:jc w:val="left"/>
        <w:rPr/>
      </w:pPr>
      <w:r>
        <w:t>Abkürzungsverzeichnis .................................................. S. 3</w:t>
      </w:r>
    </w:p>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rPr/>
      </w:pPr>
      <w:r w:rsidDel="00000000" w:rsidR="00000000" w:rsidRPr="00000000">
        <w:rPr>
          <w:rtl w:val="0"/>
        </w:rPr>
        <w:t xml:space="preserve">Abkürzungsverzeichnis</w:t>
      </w:r>
    </w:p>
    <w:p w:rsidR="00000000" w:rsidDel="00000000" w:rsidP="00000000" w:rsidRDefault="00000000" w:rsidRPr="00000000" w14:paraId="0000002B">
      <w:pPr>
        <w:jc w:val="left"/>
        <w:rPr/>
      </w:pPr>
      <w:r>
        <w:t>Die im Bericht verwendeten Abkürzungen sind alphabetisch aufgeführt.</w:t>
      </w:r>
    </w:p>
    <w:tbl>
      <w:tblPr>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536"/>
        <w:gridCol w:w="4536"/>
      </w:tblGrid>
      <w:tr>
        <w:trPr>
          <w:tblHeader w:val="true"/>
          <w:cantSplit w:val="true"/>
        </w:trPr>
        <w:tc>
          <w:tcPr>
            <w:tcW w:type="dxa" w:w="2268"/>
            <w:vAlign w:val="center"/>
            <w:shd w:fill="17365D" w:val="clear"/>
          </w:tcPr>
          <w:p>
            <w:pPr>
              <w:spacing w:before="0" w:after="40" w:line="276" w:lineRule="auto"/>
              <w:jc w:val="left"/>
            </w:pPr>
            <w:r>
              <w:rPr>
                <w:rFonts w:ascii="Arial" w:hAnsi="Arial"/>
                <w:b/>
                <w:color w:val="FFFFFF"/>
                <w:sz w:val="24"/>
              </w:rPr>
              <w:t>Abkürzung</w:t>
            </w:r>
          </w:p>
        </w:tc>
        <w:tc>
          <w:tcPr>
            <w:tcW w:type="dxa" w:w="6803"/>
            <w:vAlign w:val="center"/>
            <w:shd w:fill="17365D" w:val="clear"/>
          </w:tcPr>
          <w:p>
            <w:pPr>
              <w:spacing w:before="0" w:after="40" w:line="276" w:lineRule="auto"/>
              <w:jc w:val="left"/>
            </w:pPr>
            <w:r>
              <w:rPr>
                <w:rFonts w:ascii="Arial" w:hAnsi="Arial"/>
                <w:b/>
                <w:color w:val="FFFFFF"/>
                <w:sz w:val="24"/>
              </w:rPr>
              <w:t>Bedeutung</w:t>
            </w:r>
          </w:p>
        </w:tc>
      </w:tr>
      <w:tr>
        <w:trPr>
          <w:cantSplit w:val="true"/>
        </w:trPr>
        <w:tc>
          <w:tcPr>
            <w:tcW w:type="dxa" w:w="2268"/>
            <w:vAlign w:val="center"/>
            <w:shd w:fill="FFFFFF" w:val="clear"/>
          </w:tcPr>
          <w:p>
            <w:pPr>
              <w:spacing w:before="0" w:after="40" w:line="276" w:lineRule="auto"/>
              <w:jc w:val="left"/>
            </w:pPr>
            <w:r>
              <w:rPr>
                <w:rFonts w:ascii="Arial" w:hAnsi="Arial"/>
                <w:b w:val="0"/>
                <w:color w:val="000000"/>
                <w:sz w:val="24"/>
              </w:rPr>
              <w:t>CRM</w:t>
            </w:r>
          </w:p>
        </w:tc>
        <w:tc>
          <w:tcPr>
            <w:tcW w:type="dxa" w:w="6803"/>
            <w:vAlign w:val="center"/>
            <w:shd w:fill="FFFFFF" w:val="clear"/>
          </w:tcPr>
          <w:p>
            <w:pPr>
              <w:spacing w:before="0" w:after="40" w:line="276" w:lineRule="auto"/>
              <w:jc w:val="left"/>
            </w:pPr>
            <w:r>
              <w:rPr>
                <w:rFonts w:ascii="Arial" w:hAnsi="Arial"/>
                <w:b w:val="0"/>
                <w:color w:val="000000"/>
                <w:sz w:val="24"/>
              </w:rPr>
              <w:t>Customer Relationship Management</w:t>
            </w:r>
          </w:p>
        </w:tc>
      </w:tr>
      <w:tr>
        <w:trPr>
          <w:cantSplit w:val="true"/>
        </w:trPr>
        <w:tc>
          <w:tcPr>
            <w:tcW w:type="dxa" w:w="2268"/>
            <w:vAlign w:val="center"/>
            <w:shd w:fill="F3F6FA" w:val="clear"/>
          </w:tcPr>
          <w:p>
            <w:pPr>
              <w:spacing w:before="0" w:after="40" w:line="276" w:lineRule="auto"/>
              <w:jc w:val="left"/>
            </w:pPr>
            <w:r>
              <w:rPr>
                <w:rFonts w:ascii="Arial" w:hAnsi="Arial"/>
                <w:b w:val="0"/>
                <w:color w:val="000000"/>
                <w:sz w:val="24"/>
              </w:rPr>
              <w:t>CV</w:t>
            </w:r>
          </w:p>
        </w:tc>
        <w:tc>
          <w:tcPr>
            <w:tcW w:type="dxa" w:w="6803"/>
            <w:vAlign w:val="center"/>
            <w:shd w:fill="F3F6FA" w:val="clear"/>
          </w:tcPr>
          <w:p>
            <w:pPr>
              <w:spacing w:before="0" w:after="40" w:line="276" w:lineRule="auto"/>
              <w:jc w:val="left"/>
            </w:pPr>
            <w:r>
              <w:rPr>
                <w:rFonts w:ascii="Arial" w:hAnsi="Arial"/>
                <w:b w:val="0"/>
                <w:color w:val="000000"/>
                <w:sz w:val="24"/>
              </w:rPr>
              <w:t>Cross Validation (Kreuzvalidierung)</w:t>
            </w:r>
          </w:p>
        </w:tc>
      </w:tr>
      <w:tr>
        <w:trPr>
          <w:cantSplit w:val="true"/>
        </w:trPr>
        <w:tc>
          <w:tcPr>
            <w:tcW w:type="dxa" w:w="2268"/>
            <w:vAlign w:val="center"/>
            <w:shd w:fill="FFFFFF" w:val="clear"/>
          </w:tcPr>
          <w:p>
            <w:pPr>
              <w:spacing w:before="0" w:after="40" w:line="276" w:lineRule="auto"/>
              <w:jc w:val="left"/>
            </w:pPr>
            <w:r>
              <w:rPr>
                <w:rFonts w:ascii="Arial" w:hAnsi="Arial"/>
                <w:b w:val="0"/>
                <w:color w:val="000000"/>
                <w:sz w:val="24"/>
              </w:rPr>
              <w:t>EDA</w:t>
            </w:r>
          </w:p>
        </w:tc>
        <w:tc>
          <w:tcPr>
            <w:tcW w:type="dxa" w:w="6803"/>
            <w:vAlign w:val="center"/>
            <w:shd w:fill="FFFFFF" w:val="clear"/>
          </w:tcPr>
          <w:p>
            <w:pPr>
              <w:spacing w:before="0" w:after="40" w:line="276" w:lineRule="auto"/>
              <w:jc w:val="left"/>
            </w:pPr>
            <w:r>
              <w:rPr>
                <w:rFonts w:ascii="Arial" w:hAnsi="Arial"/>
                <w:b w:val="0"/>
                <w:color w:val="000000"/>
                <w:sz w:val="24"/>
              </w:rPr>
              <w:t>Exploratory Data Analysis</w:t>
            </w:r>
          </w:p>
        </w:tc>
      </w:tr>
      <w:tr>
        <w:trPr>
          <w:cantSplit w:val="true"/>
        </w:trPr>
        <w:tc>
          <w:tcPr>
            <w:tcW w:type="dxa" w:w="2268"/>
            <w:vAlign w:val="center"/>
            <w:shd w:fill="F3F6FA" w:val="clear"/>
          </w:tcPr>
          <w:p>
            <w:pPr>
              <w:spacing w:before="0" w:after="40" w:line="276" w:lineRule="auto"/>
              <w:jc w:val="left"/>
            </w:pPr>
            <w:r>
              <w:rPr>
                <w:rFonts w:ascii="Arial" w:hAnsi="Arial"/>
                <w:b w:val="0"/>
                <w:color w:val="000000"/>
                <w:sz w:val="24"/>
              </w:rPr>
              <w:t>ETL</w:t>
            </w:r>
          </w:p>
        </w:tc>
        <w:tc>
          <w:tcPr>
            <w:tcW w:type="dxa" w:w="6803"/>
            <w:vAlign w:val="center"/>
            <w:shd w:fill="F3F6FA" w:val="clear"/>
          </w:tcPr>
          <w:p>
            <w:pPr>
              <w:spacing w:before="0" w:after="40" w:line="276" w:lineRule="auto"/>
              <w:jc w:val="left"/>
            </w:pPr>
            <w:r>
              <w:rPr>
                <w:rFonts w:ascii="Arial" w:hAnsi="Arial"/>
                <w:b w:val="0"/>
                <w:color w:val="000000"/>
                <w:sz w:val="24"/>
              </w:rPr>
              <w:t>Extract, Transform, Load</w:t>
            </w:r>
          </w:p>
        </w:tc>
      </w:tr>
      <w:tr>
        <w:trPr>
          <w:cantSplit w:val="true"/>
        </w:trPr>
        <w:tc>
          <w:tcPr>
            <w:tcW w:type="dxa" w:w="2268"/>
            <w:vAlign w:val="center"/>
            <w:shd w:fill="FFFFFF" w:val="clear"/>
          </w:tcPr>
          <w:p>
            <w:pPr>
              <w:spacing w:before="0" w:after="40" w:line="276" w:lineRule="auto"/>
              <w:jc w:val="left"/>
            </w:pPr>
            <w:r>
              <w:rPr>
                <w:rFonts w:ascii="Arial" w:hAnsi="Arial"/>
                <w:b w:val="0"/>
                <w:color w:val="000000"/>
                <w:sz w:val="24"/>
              </w:rPr>
              <w:t>KPI</w:t>
            </w:r>
          </w:p>
        </w:tc>
        <w:tc>
          <w:tcPr>
            <w:tcW w:type="dxa" w:w="6803"/>
            <w:vAlign w:val="center"/>
            <w:shd w:fill="FFFFFF" w:val="clear"/>
          </w:tcPr>
          <w:p>
            <w:pPr>
              <w:spacing w:before="0" w:after="40" w:line="276" w:lineRule="auto"/>
              <w:jc w:val="left"/>
            </w:pPr>
            <w:r>
              <w:rPr>
                <w:rFonts w:ascii="Arial" w:hAnsi="Arial"/>
                <w:b w:val="0"/>
                <w:color w:val="000000"/>
                <w:sz w:val="24"/>
              </w:rPr>
              <w:t>Key Performance Indicator</w:t>
            </w:r>
          </w:p>
        </w:tc>
      </w:tr>
      <w:tr>
        <w:trPr>
          <w:cantSplit w:val="true"/>
        </w:trPr>
        <w:tc>
          <w:tcPr>
            <w:tcW w:type="dxa" w:w="2268"/>
            <w:vAlign w:val="center"/>
            <w:shd w:fill="F3F6FA" w:val="clear"/>
          </w:tcPr>
          <w:p>
            <w:pPr>
              <w:spacing w:before="0" w:after="40" w:line="276" w:lineRule="auto"/>
              <w:jc w:val="left"/>
            </w:pPr>
            <w:r>
              <w:rPr>
                <w:rFonts w:ascii="Arial" w:hAnsi="Arial"/>
                <w:b w:val="0"/>
                <w:color w:val="000000"/>
                <w:sz w:val="24"/>
              </w:rPr>
              <w:t>MAE</w:t>
            </w:r>
          </w:p>
        </w:tc>
        <w:tc>
          <w:tcPr>
            <w:tcW w:type="dxa" w:w="6803"/>
            <w:vAlign w:val="center"/>
            <w:shd w:fill="F3F6FA" w:val="clear"/>
          </w:tcPr>
          <w:p>
            <w:pPr>
              <w:spacing w:before="0" w:after="40" w:line="276" w:lineRule="auto"/>
              <w:jc w:val="left"/>
            </w:pPr>
            <w:r>
              <w:rPr>
                <w:rFonts w:ascii="Arial" w:hAnsi="Arial"/>
                <w:b w:val="0"/>
                <w:color w:val="000000"/>
                <w:sz w:val="24"/>
              </w:rPr>
              <w:t>Mean Absolute Error (mittlerer absoluter Fehler)</w:t>
            </w:r>
          </w:p>
        </w:tc>
      </w:tr>
      <w:tr>
        <w:trPr>
          <w:cantSplit w:val="true"/>
        </w:trPr>
        <w:tc>
          <w:tcPr>
            <w:tcW w:type="dxa" w:w="2268"/>
            <w:vAlign w:val="center"/>
            <w:shd w:fill="FFFFFF" w:val="clear"/>
          </w:tcPr>
          <w:p>
            <w:pPr>
              <w:spacing w:before="0" w:after="40" w:line="276" w:lineRule="auto"/>
              <w:jc w:val="left"/>
            </w:pPr>
            <w:r>
              <w:rPr>
                <w:rFonts w:ascii="Arial" w:hAnsi="Arial"/>
                <w:b w:val="0"/>
                <w:color w:val="000000"/>
                <w:sz w:val="24"/>
              </w:rPr>
              <w:t>ML</w:t>
            </w:r>
          </w:p>
        </w:tc>
        <w:tc>
          <w:tcPr>
            <w:tcW w:type="dxa" w:w="6803"/>
            <w:vAlign w:val="center"/>
            <w:shd w:fill="FFFFFF" w:val="clear"/>
          </w:tcPr>
          <w:p>
            <w:pPr>
              <w:spacing w:before="0" w:after="40" w:line="276" w:lineRule="auto"/>
              <w:jc w:val="left"/>
            </w:pPr>
            <w:r>
              <w:rPr>
                <w:rFonts w:ascii="Arial" w:hAnsi="Arial"/>
                <w:b w:val="0"/>
                <w:color w:val="000000"/>
                <w:sz w:val="24"/>
              </w:rPr>
              <w:t>Machine Learning</w:t>
            </w:r>
          </w:p>
        </w:tc>
      </w:tr>
      <w:tr>
        <w:trPr>
          <w:cantSplit w:val="true"/>
        </w:trPr>
        <w:tc>
          <w:tcPr>
            <w:tcW w:type="dxa" w:w="2268"/>
            <w:vAlign w:val="center"/>
            <w:shd w:fill="F3F6FA" w:val="clear"/>
          </w:tcPr>
          <w:p>
            <w:pPr>
              <w:spacing w:before="0" w:after="40" w:line="276" w:lineRule="auto"/>
              <w:jc w:val="left"/>
            </w:pPr>
            <w:r>
              <w:rPr>
                <w:rFonts w:ascii="Arial" w:hAnsi="Arial"/>
                <w:b w:val="0"/>
                <w:color w:val="000000"/>
                <w:sz w:val="24"/>
              </w:rPr>
              <w:t>RMSE</w:t>
            </w:r>
          </w:p>
        </w:tc>
        <w:tc>
          <w:tcPr>
            <w:tcW w:type="dxa" w:w="6803"/>
            <w:vAlign w:val="center"/>
            <w:shd w:fill="F3F6FA" w:val="clear"/>
          </w:tcPr>
          <w:p>
            <w:pPr>
              <w:spacing w:before="0" w:after="40" w:line="276" w:lineRule="auto"/>
              <w:jc w:val="left"/>
            </w:pPr>
            <w:r>
              <w:rPr>
                <w:rFonts w:ascii="Arial" w:hAnsi="Arial"/>
                <w:b w:val="0"/>
                <w:color w:val="000000"/>
                <w:sz w:val="24"/>
              </w:rPr>
              <w:t>Root Mean Squared Error (Wurzel des mittleren quadratischen Fehlers)</w:t>
            </w:r>
          </w:p>
        </w:tc>
      </w:tr>
      <w:tr>
        <w:trPr>
          <w:cantSplit w:val="true"/>
        </w:trPr>
        <w:tc>
          <w:tcPr>
            <w:tcW w:type="dxa" w:w="2268"/>
            <w:vAlign w:val="center"/>
            <w:shd w:fill="FFFFFF" w:val="clear"/>
          </w:tcPr>
          <w:p>
            <w:pPr>
              <w:spacing w:before="0" w:after="40" w:line="276" w:lineRule="auto"/>
              <w:jc w:val="left"/>
            </w:pPr>
            <w:r>
              <w:rPr>
                <w:rFonts w:ascii="Arial" w:hAnsi="Arial"/>
                <w:b w:val="0"/>
                <w:color w:val="000000"/>
                <w:sz w:val="24"/>
              </w:rPr>
              <w:t>VLS</w:t>
            </w:r>
          </w:p>
        </w:tc>
        <w:tc>
          <w:tcPr>
            <w:tcW w:type="dxa" w:w="6803"/>
            <w:vAlign w:val="center"/>
            <w:shd w:fill="FFFFFF" w:val="clear"/>
          </w:tcPr>
          <w:p>
            <w:pPr>
              <w:spacing w:before="0" w:after="40" w:line="276" w:lineRule="auto"/>
              <w:jc w:val="left"/>
            </w:pPr>
            <w:r>
              <w:rPr>
                <w:rFonts w:ascii="Arial" w:hAnsi="Arial"/>
                <w:b w:val="0"/>
                <w:color w:val="000000"/>
                <w:sz w:val="24"/>
              </w:rPr>
              <w:t>Vollaststunden</w:t>
            </w:r>
          </w:p>
        </w:tc>
      </w:tr>
    </w:tbl>
    <w:p w:rsidR="00000000" w:rsidDel="00000000" w:rsidP="00000000" w:rsidRDefault="00000000" w:rsidRPr="00000000" w14:paraId="00000038">
      <w:pPr>
        <w:rPr/>
      </w:pPr>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rPr/>
      </w:pPr>
      <w:r w:rsidDel="00000000" w:rsidR="00000000" w:rsidRPr="00000000">
        <w:rPr>
          <w:rtl w:val="0"/>
        </w:rPr>
        <w:t xml:space="preserve">1   Ausgangssituation und Ist-Zustand</w:t>
      </w:r>
    </w:p>
    <w:p w:rsidR="00000000" w:rsidDel="00000000" w:rsidP="00000000" w:rsidRDefault="00000000" w:rsidRPr="00000000" w14:paraId="0000003A">
      <w:pPr>
        <w:pStyle w:val="Heading2"/>
        <w:rPr/>
      </w:pPr>
      <w:r w:rsidDel="00000000" w:rsidR="00000000" w:rsidRPr="00000000">
        <w:rPr>
          <w:rtl w:val="0"/>
        </w:rPr>
        <w:t xml:space="preserve">1.1   Vorstellung der Organisation</w:t>
      </w:r>
    </w:p>
    <w:p w:rsidR="00000000" w:rsidDel="00000000" w:rsidP="00000000" w:rsidRDefault="00000000" w:rsidRPr="00000000" w14:paraId="0000003B">
      <w:pPr>
        <w:spacing w:after="0" w:lineRule="auto"/>
        <w:rPr/>
      </w:pPr>
      <w:r w:rsidDel="00000000" w:rsidR="00000000" w:rsidRPr="00000000">
        <w:rPr>
          <w:rtl w:val="0"/>
        </w:rPr>
        <w:t xml:space="preserve">StadtWerke Westhafen GmbH ist ein städtischer Energieversorger im Hamburger Hafengebiet. Versorgt werden 700 gewerbliche, industrielle und kommunale Großkunden über Mittel- und Niederspannungsanschlüsse. Der Gesamtjahresumsatz liegt bei rund 180 Mio. EUR.</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2"/>
        <w:spacing w:after="0" w:lineRule="auto"/>
        <w:rPr/>
      </w:pPr>
      <w:r w:rsidDel="00000000" w:rsidR="00000000" w:rsidRPr="00000000">
        <w:rPr>
          <w:rtl w:val="0"/>
        </w:rPr>
        <w:t xml:space="preserve">1.2   Aktuelle Situation und Problemstellung</w:t>
      </w:r>
    </w:p>
    <w:p w:rsidR="00000000" w:rsidDel="00000000" w:rsidP="00000000" w:rsidRDefault="00000000" w:rsidRPr="00000000" w14:paraId="0000003E">
      <w:pPr>
        <w:rPr/>
      </w:pPr>
      <w:r w:rsidDel="00000000" w:rsidR="00000000" w:rsidRPr="00000000">
        <w:rPr>
          <w:rFonts w:ascii="Arial" w:cs="Arial" w:eastAsia="Arial" w:hAnsi="Arial"/>
          <w:rtl w:val="0"/>
        </w:rPr>
        <w:br w:type="textWrapping"/>
      </w:r>
      <w:r w:rsidDel="00000000" w:rsidR="00000000" w:rsidRPr="00000000">
        <w:rPr>
          <w:rtl w:val="0"/>
        </w:rPr>
        <w:t xml:space="preserve">In den letzten zwei Jahren haben sich zwei operative Probleme bei der StadtWerke Westhafen GmbH verstärkt: Ungenaue Verbrauchsprognosen führen zu kostspieligen Spotmarkt-Käufen oder -Verkäufen, während ungewöhnlich hoher oder niedriger Verbrauch häufig erst beim Quartalsabschluss erkannt wird. Dadurch werden mögliche Defekte, Leitungsverluste, fehlerhafte Zählerstände oder Abrechnungsfehler teilweise erst Monate später entdeckt. Eine systematische datengetriebene Prognose und frühzeitige Erkennung von Anomalien findet bisher nicht statt.</w:t>
      </w:r>
    </w:p>
    <w:p w:rsidR="00000000" w:rsidDel="00000000" w:rsidP="00000000" w:rsidRDefault="00000000" w:rsidRPr="00000000" w14:paraId="0000003F">
      <w:pPr>
        <w:pStyle w:val="Heading2"/>
        <w:rPr/>
      </w:pPr>
      <w:r w:rsidDel="00000000" w:rsidR="00000000" w:rsidRPr="00000000">
        <w:rPr>
          <w:rtl w:val="0"/>
        </w:rPr>
        <w:t xml:space="preserve">1.3   Bereits genutzte Analytics-Prozesse</w:t>
      </w:r>
    </w:p>
    <w:p w:rsidR="00000000" w:rsidDel="00000000" w:rsidP="00000000" w:rsidRDefault="00000000" w:rsidRPr="00000000" w14:paraId="00000040">
      <w:pPr>
        <w:spacing w:after="240" w:before="240" w:lineRule="auto"/>
        <w:rPr/>
      </w:pPr>
      <w:r w:rsidDel="00000000" w:rsidR="00000000" w:rsidRPr="00000000">
        <w:rPr>
          <w:rtl w:val="0"/>
        </w:rPr>
        <w:t xml:space="preserve">Henrik Maaß, Senior-Datenanalyst, analysiert monatlich die Verbrauchsdaten der Großkunden und erstellt manuelle Auswertungen für die Energiebeschaffung und das Netzmanagement. Abweichungen und ungewöhnliche Verbrauchswerte werden überwiegend rückblickend erkannt. Eine modellbasierte Prognose des zukünftigen Verbrauchs oder eine automatisierte Frühwarnung für Anomalien existiert bisher nicht. Ein datengetriebenes Prognose- und Frühwarnsystem würde diese Lücke schließen und eine frühzeitige Reaktion auf Verbrauchsabweichungen ermöglichen.</w:t>
      </w:r>
    </w:p>
    <w:p w:rsidR="00000000" w:rsidDel="00000000" w:rsidP="00000000" w:rsidRDefault="00000000" w:rsidRPr="00000000" w14:paraId="00000041">
      <w:pPr>
        <w:pStyle w:val="Heading2"/>
        <w:rPr/>
      </w:pPr>
      <w:r w:rsidDel="00000000" w:rsidR="00000000" w:rsidRPr="00000000">
        <w:rPr>
          <w:rtl w:val="0"/>
        </w:rPr>
        <w:t xml:space="preserve">1.4   Projekt-Relevanz und Zielsetzung</w:t>
      </w:r>
    </w:p>
    <w:p w:rsidR="00000000" w:rsidDel="00000000" w:rsidP="00000000" w:rsidRDefault="00000000" w:rsidRPr="00000000" w14:paraId="00000042">
      <w:pPr>
        <w:spacing w:after="240" w:before="240" w:lineRule="auto"/>
        <w:rPr/>
      </w:pPr>
      <w:r w:rsidDel="00000000" w:rsidR="00000000" w:rsidRPr="00000000">
        <w:rPr>
          <w:rtl w:val="0"/>
        </w:rPr>
        <w:t>Ein datengetriebenes Prognose- und Frühwarnsystem soll die Genauigkeit monatlicher Stromverbrauchsprognosen verbessern und Anomalien frühzeitig erkennen, um Beschaffungskosten zu reduzieren und technische Probleme schneller zu identifizieren. Diese Projektarbeit untersucht, ob ein Regressionsmodell zur Verbrauchsprognose in Kombination mit einer residuenbasierten Prüfhinweisregel diese Aufgaben zuverlässig unterstützen kann.</w:t>
      </w:r>
    </w:p>
    <w:p w:rsidR="00000000" w:rsidDel="00000000" w:rsidP="00000000" w:rsidRDefault="00000000" w:rsidRPr="00000000" w14:paraId="00000043">
      <w:pPr>
        <w:pStyle w:val="Heading1"/>
        <w:rPr/>
      </w:pPr>
      <w:r w:rsidDel="00000000" w:rsidR="00000000" w:rsidRPr="00000000">
        <w:rPr>
          <w:rtl w:val="0"/>
        </w:rPr>
        <w:t xml:space="preserve">2   Machine Learning Canvas</w:t>
      </w:r>
    </w:p>
    <w:p w:rsidR="00000000" w:rsidDel="00000000" w:rsidP="00000000" w:rsidRDefault="00000000" w:rsidRPr="00000000" w14:paraId="00000044">
      <w:pPr>
        <w:pStyle w:val="Heading2"/>
        <w:rPr>
          <w:rFonts w:ascii="Arial" w:cs="Arial" w:eastAsia="Arial" w:hAnsi="Arial"/>
        </w:rPr>
      </w:pPr>
      <w:r w:rsidDel="00000000" w:rsidR="00000000" w:rsidRPr="00000000">
        <w:rPr>
          <w:rtl w:val="0"/>
        </w:rPr>
        <w:t xml:space="preserve">2.1   Überblick</w:t>
      </w:r>
      <w:r w:rsidDel="00000000" w:rsidR="00000000" w:rsidRPr="00000000">
        <w:rPr>
          <w:rtl w:val="0"/>
        </w:rPr>
      </w:r>
    </w:p>
    <w:p w:rsidR="00000000" w:rsidDel="00000000" w:rsidP="00000000" w:rsidRDefault="00000000" w:rsidRPr="00000000" w14:paraId="00000045">
      <w:pPr>
        <w:spacing w:after="240" w:before="240" w:lineRule="auto"/>
        <w:jc w:val="left"/>
        <w:rPr/>
      </w:pPr>
      <w:r>
        <w:t>Der Machine Learning Canvas verbindet das geschäftliche Ziel mit der Datengrundlage, der Modellierung und dem späteren Arbeitsprozess. Im Projekt werden zwei zeitlich getrennte Aufgaben unterschieden: Vor Beginn eines Monats wird der erwartete Stromverbrauch je Zähler prognostiziert. Nach Eingang des tatsächlichen Monatswerts wird die Abweichung zwischen Istwert und Prognose geprüft. Eine ungewöhnlich große Abweichung erzeugt einen Prüfhinweis, aber noch keine bestätigte Anomalie oder automatische Maßnahme.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2"/>
        <w:rPr/>
      </w:pPr>
      <w:r w:rsidDel="00000000" w:rsidR="00000000" w:rsidRPr="00000000">
        <w:rPr>
          <w:rtl w:val="0"/>
        </w:rPr>
        <w:t xml:space="preserve">2.2   Die zehn Felder</w:t>
      </w:r>
    </w:p>
    <w:tbl>
      <w:tblPr>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536"/>
        <w:gridCol w:w="4536"/>
      </w:tblGrid>
      <w:tr>
        <w:trPr>
          <w:tblHeader w:val="true"/>
          <w:cantSplit w:val="true"/>
        </w:trPr>
        <w:tc>
          <w:tcPr>
            <w:tcW w:type="dxa" w:w="2409"/>
            <w:vAlign w:val="center"/>
            <w:shd w:fill="17365D" w:val="clear"/>
          </w:tcPr>
          <w:p>
            <w:pPr>
              <w:spacing w:before="0" w:after="40" w:line="276" w:lineRule="auto"/>
              <w:jc w:val="left"/>
            </w:pPr>
            <w:r>
              <w:rPr>
                <w:rFonts w:ascii="Arial" w:hAnsi="Arial"/>
                <w:b/>
                <w:color w:val="FFFFFF"/>
                <w:sz w:val="24"/>
              </w:rPr>
              <w:t>Feld</w:t>
            </w:r>
          </w:p>
        </w:tc>
        <w:tc>
          <w:tcPr>
            <w:tcW w:type="dxa" w:w="6661"/>
            <w:vAlign w:val="center"/>
            <w:shd w:fill="17365D" w:val="clear"/>
          </w:tcPr>
          <w:p>
            <w:pPr>
              <w:spacing w:before="0" w:after="40" w:line="276" w:lineRule="auto"/>
              <w:jc w:val="left"/>
            </w:pPr>
            <w:r>
              <w:rPr>
                <w:rFonts w:ascii="Arial" w:hAnsi="Arial"/>
                <w:b/>
                <w:color w:val="FFFFFF"/>
                <w:sz w:val="24"/>
              </w:rPr>
              <w:t>Projektinhalt</w:t>
            </w:r>
          </w:p>
        </w:tc>
      </w:tr>
      <w:tr>
        <w:trPr>
          <w:cantSplit w:val="true"/>
        </w:trPr>
        <w:tc>
          <w:tcPr>
            <w:tcW w:type="dxa" w:w="2409"/>
            <w:vAlign w:val="center"/>
            <w:shd w:fill="FFFFFF" w:val="clear"/>
          </w:tcPr>
          <w:p>
            <w:pPr>
              <w:spacing w:before="0" w:after="40" w:line="276" w:lineRule="auto"/>
              <w:jc w:val="left"/>
            </w:pPr>
            <w:r>
              <w:rPr>
                <w:rFonts w:ascii="Arial" w:hAnsi="Arial"/>
                <w:b w:val="0"/>
                <w:color w:val="000000"/>
                <w:sz w:val="24"/>
              </w:rPr>
              <w:t>1. Value Proposition / Mehrwert</w:t>
            </w:r>
          </w:p>
        </w:tc>
        <w:tc>
          <w:tcPr>
            <w:tcW w:type="dxa" w:w="6661"/>
            <w:vAlign w:val="center"/>
            <w:shd w:fill="FFFFFF" w:val="clear"/>
          </w:tcPr>
          <w:p>
            <w:pPr>
              <w:spacing w:before="0" w:after="40" w:line="276" w:lineRule="auto"/>
              <w:jc w:val="left"/>
            </w:pPr>
            <w:r>
              <w:rPr>
                <w:rFonts w:ascii="Arial" w:hAnsi="Arial"/>
                <w:b w:val="0"/>
                <w:color w:val="000000"/>
                <w:sz w:val="24"/>
              </w:rPr>
              <w:t>Die Energiebeschaffung erhält vor Monatsbeginn eine belastbarere Verbrauchsprognose. Das Netzmanagement kann ungewöhnliche Zählerwerte monatlich statt erst beim Quartalsabschluss prüfen.</w:t>
            </w:r>
          </w:p>
        </w:tc>
      </w:tr>
      <w:tr>
        <w:trPr>
          <w:cantSplit w:val="true"/>
        </w:trPr>
        <w:tc>
          <w:tcPr>
            <w:tcW w:type="dxa" w:w="2409"/>
            <w:vAlign w:val="center"/>
            <w:shd w:fill="F3F6FA" w:val="clear"/>
          </w:tcPr>
          <w:p>
            <w:pPr>
              <w:spacing w:before="0" w:after="40" w:line="276" w:lineRule="auto"/>
              <w:jc w:val="left"/>
            </w:pPr>
            <w:r>
              <w:rPr>
                <w:rFonts w:ascii="Arial" w:hAnsi="Arial"/>
                <w:b w:val="0"/>
                <w:color w:val="000000"/>
                <w:sz w:val="24"/>
              </w:rPr>
              <w:t>2. Data Sources / Datenquellen</w:t>
            </w:r>
          </w:p>
        </w:tc>
        <w:tc>
          <w:tcPr>
            <w:tcW w:type="dxa" w:w="6661"/>
            <w:vAlign w:val="center"/>
            <w:shd w:fill="F3F6FA" w:val="clear"/>
          </w:tcPr>
          <w:p>
            <w:pPr>
              <w:spacing w:before="0" w:after="40" w:line="276" w:lineRule="auto"/>
              <w:jc w:val="left"/>
            </w:pPr>
            <w:r>
              <w:rPr>
                <w:rFonts w:ascii="Arial" w:hAnsi="Arial"/>
                <w:b w:val="0"/>
                <w:color w:val="000000"/>
                <w:sz w:val="24"/>
              </w:rPr>
              <w:t>Monatliche Zähler- und Verbrauchsdaten, Vertragsleistung, Kundentyp, Kalenderdaten, Heizgradtage beziehungsweise Wetterprognose, Produktionsplan und geplante Wartung. Die Modellierungsbasis umfasst 700 Zähler von Januar 2024 bis Dezember 2025.</w:t>
            </w:r>
          </w:p>
        </w:tc>
      </w:tr>
      <w:tr>
        <w:trPr>
          <w:cantSplit w:val="true"/>
        </w:trPr>
        <w:tc>
          <w:tcPr>
            <w:tcW w:type="dxa" w:w="2409"/>
            <w:vAlign w:val="center"/>
            <w:shd w:fill="FFFFFF" w:val="clear"/>
          </w:tcPr>
          <w:p>
            <w:pPr>
              <w:spacing w:before="0" w:after="40" w:line="276" w:lineRule="auto"/>
              <w:jc w:val="left"/>
            </w:pPr>
            <w:r>
              <w:rPr>
                <w:rFonts w:ascii="Arial" w:hAnsi="Arial"/>
                <w:b w:val="0"/>
                <w:color w:val="000000"/>
                <w:sz w:val="24"/>
              </w:rPr>
              <w:t>3. Prediction / Vorhersage</w:t>
            </w:r>
          </w:p>
        </w:tc>
        <w:tc>
          <w:tcPr>
            <w:tcW w:type="dxa" w:w="6661"/>
            <w:vAlign w:val="center"/>
            <w:shd w:fill="FFFFFF" w:val="clear"/>
          </w:tcPr>
          <w:p>
            <w:pPr>
              <w:spacing w:before="0" w:after="40" w:line="276" w:lineRule="auto"/>
              <w:jc w:val="left"/>
            </w:pPr>
            <w:r>
              <w:rPr>
                <w:rFonts w:ascii="Arial" w:hAnsi="Arial"/>
                <w:b w:val="0"/>
                <w:color w:val="000000"/>
                <w:sz w:val="24"/>
              </w:rPr>
              <w:t>Überwachte Regression der Vollaststunden des Folgemonats je Zähler. Die Prognose wird über die jeweilige Vertragsleistung wieder in kWh umgerechnet. Nach Monatsabschluss bildet das Residuum die Grundlage für einen Prüfhinweis.</w:t>
            </w:r>
          </w:p>
        </w:tc>
      </w:tr>
      <w:tr>
        <w:trPr>
          <w:cantSplit w:val="true"/>
        </w:trPr>
        <w:tc>
          <w:tcPr>
            <w:tcW w:type="dxa" w:w="2409"/>
            <w:vAlign w:val="center"/>
            <w:shd w:fill="F3F6FA" w:val="clear"/>
          </w:tcPr>
          <w:p>
            <w:pPr>
              <w:spacing w:before="0" w:after="40" w:line="276" w:lineRule="auto"/>
              <w:jc w:val="left"/>
            </w:pPr>
            <w:r>
              <w:rPr>
                <w:rFonts w:ascii="Arial" w:hAnsi="Arial"/>
                <w:b w:val="0"/>
                <w:color w:val="000000"/>
                <w:sz w:val="24"/>
              </w:rPr>
              <w:t>4. Features / Merkmale</w:t>
            </w:r>
          </w:p>
        </w:tc>
        <w:tc>
          <w:tcPr>
            <w:tcW w:type="dxa" w:w="6661"/>
            <w:vAlign w:val="center"/>
            <w:shd w:fill="F3F6FA" w:val="clear"/>
          </w:tcPr>
          <w:p>
            <w:pPr>
              <w:spacing w:before="0" w:after="40" w:line="276" w:lineRule="auto"/>
              <w:jc w:val="left"/>
            </w:pPr>
            <w:r>
              <w:rPr>
                <w:rFonts w:ascii="Arial" w:hAnsi="Arial"/>
                <w:b w:val="0"/>
                <w:color w:val="000000"/>
                <w:sz w:val="24"/>
              </w:rPr>
              <w:t>Vertragsleistung, Monatsnummer, Arbeitstage, Feiertage, Heizgradtage, Produktionsplan, geplante Wartung, Kundentyp, Vormonatswert und Mittel aus bis zu drei vorherigen Monaten. Verwendet werden nur Informationen, die zum Prognosezeitpunkt vorliegen.</w:t>
            </w:r>
          </w:p>
        </w:tc>
      </w:tr>
      <w:tr>
        <w:trPr>
          <w:cantSplit w:val="true"/>
        </w:trPr>
        <w:tc>
          <w:tcPr>
            <w:tcW w:type="dxa" w:w="2409"/>
            <w:vAlign w:val="center"/>
            <w:shd w:fill="FFFFFF" w:val="clear"/>
          </w:tcPr>
          <w:p>
            <w:pPr>
              <w:spacing w:before="0" w:after="40" w:line="276" w:lineRule="auto"/>
              <w:jc w:val="left"/>
            </w:pPr>
            <w:r>
              <w:rPr>
                <w:rFonts w:ascii="Arial" w:hAnsi="Arial"/>
                <w:b w:val="0"/>
                <w:color w:val="000000"/>
                <w:sz w:val="24"/>
              </w:rPr>
              <w:t>5. Learning Approach / Lernansatz</w:t>
            </w:r>
          </w:p>
        </w:tc>
        <w:tc>
          <w:tcPr>
            <w:tcW w:type="dxa" w:w="6661"/>
            <w:vAlign w:val="center"/>
            <w:shd w:fill="FFFFFF" w:val="clear"/>
          </w:tcPr>
          <w:p>
            <w:pPr>
              <w:spacing w:before="0" w:after="40" w:line="276" w:lineRule="auto"/>
              <w:jc w:val="left"/>
            </w:pPr>
            <w:r>
              <w:rPr>
                <w:rFonts w:ascii="Arial" w:hAnsi="Arial"/>
                <w:b w:val="0"/>
                <w:color w:val="000000"/>
                <w:sz w:val="24"/>
              </w:rPr>
              <w:t>Eine lineare Regression dient als verständliche Referenz. Ein Random Forest bildet zusätzlich nichtlineare Zusammenhänge ab. Beide Modelle werden mit einfachen historischen Baselines verglichen.</w:t>
            </w:r>
          </w:p>
        </w:tc>
      </w:tr>
      <w:tr>
        <w:trPr>
          <w:cantSplit w:val="true"/>
        </w:trPr>
        <w:tc>
          <w:tcPr>
            <w:tcW w:type="dxa" w:w="2409"/>
            <w:vAlign w:val="center"/>
            <w:shd w:fill="F3F6FA" w:val="clear"/>
          </w:tcPr>
          <w:p>
            <w:pPr>
              <w:spacing w:before="0" w:after="40" w:line="276" w:lineRule="auto"/>
              <w:jc w:val="left"/>
            </w:pPr>
            <w:r>
              <w:rPr>
                <w:rFonts w:ascii="Arial" w:hAnsi="Arial"/>
                <w:b w:val="0"/>
                <w:color w:val="000000"/>
                <w:sz w:val="24"/>
              </w:rPr>
              <w:t>6. Evaluation / Überprüfung</w:t>
            </w:r>
          </w:p>
        </w:tc>
        <w:tc>
          <w:tcPr>
            <w:tcW w:type="dxa" w:w="6661"/>
            <w:vAlign w:val="center"/>
            <w:shd w:fill="F3F6FA" w:val="clear"/>
          </w:tcPr>
          <w:p>
            <w:pPr>
              <w:spacing w:before="0" w:after="40" w:line="276" w:lineRule="auto"/>
              <w:jc w:val="left"/>
            </w:pPr>
            <w:r>
              <w:rPr>
                <w:rFonts w:ascii="Arial" w:hAnsi="Arial"/>
                <w:b w:val="0"/>
                <w:color w:val="000000"/>
                <w:sz w:val="24"/>
              </w:rPr>
              <w:t>Hauptmetrik ist der RMSE in kWh, da große Mengenfehler stärker gewichtet werden. Der MAE ergänzt die Bewertung als durchschnittliche absolute Abweichung. Die Modellwahl erfolgt über drei zeitlich vorwärts laufende Prüfungen aus 2024. Als Baselines dienen der Vormonat und das Mittel aus bis zu drei Vormonaten.</w:t>
            </w:r>
          </w:p>
        </w:tc>
      </w:tr>
      <w:tr>
        <w:trPr>
          <w:cantSplit w:val="true"/>
        </w:trPr>
        <w:tc>
          <w:tcPr>
            <w:tcW w:type="dxa" w:w="2409"/>
            <w:vAlign w:val="center"/>
            <w:shd w:fill="FFFFFF" w:val="clear"/>
          </w:tcPr>
          <w:p>
            <w:pPr>
              <w:spacing w:before="0" w:after="40" w:line="276" w:lineRule="auto"/>
              <w:jc w:val="left"/>
            </w:pPr>
            <w:r>
              <w:rPr>
                <w:rFonts w:ascii="Arial" w:hAnsi="Arial"/>
                <w:b w:val="0"/>
                <w:color w:val="000000"/>
                <w:sz w:val="24"/>
              </w:rPr>
              <w:t>7. Decision / Entscheidung</w:t>
            </w:r>
          </w:p>
        </w:tc>
        <w:tc>
          <w:tcPr>
            <w:tcW w:type="dxa" w:w="6661"/>
            <w:vAlign w:val="center"/>
            <w:shd w:fill="FFFFFF" w:val="clear"/>
          </w:tcPr>
          <w:p>
            <w:pPr>
              <w:spacing w:before="0" w:after="40" w:line="276" w:lineRule="auto"/>
              <w:jc w:val="left"/>
            </w:pPr>
            <w:r>
              <w:rPr>
                <w:rFonts w:ascii="Arial" w:hAnsi="Arial"/>
                <w:b w:val="0"/>
                <w:color w:val="000000"/>
                <w:sz w:val="24"/>
              </w:rPr>
              <w:t>Die kWh-Prognose unterstützt die Mengenplanung. Überschreitet das spätere absolute VLS-Residuum die kalibrierte Schwelle, wird der Zähler-Monat priorisiert geprüft. Messwert, Datenqualität, Produktionsplan, Wartung und betrieblicher Kontext werden durch eine Fachkraft bewertet.</w:t>
            </w:r>
          </w:p>
        </w:tc>
      </w:tr>
      <w:tr>
        <w:trPr>
          <w:cantSplit w:val="true"/>
        </w:trPr>
        <w:tc>
          <w:tcPr>
            <w:tcW w:type="dxa" w:w="2409"/>
            <w:vAlign w:val="center"/>
            <w:shd w:fill="F3F6FA" w:val="clear"/>
          </w:tcPr>
          <w:p>
            <w:pPr>
              <w:spacing w:before="0" w:after="40" w:line="276" w:lineRule="auto"/>
              <w:jc w:val="left"/>
            </w:pPr>
            <w:r>
              <w:rPr>
                <w:rFonts w:ascii="Arial" w:hAnsi="Arial"/>
                <w:b w:val="0"/>
                <w:color w:val="000000"/>
                <w:sz w:val="24"/>
              </w:rPr>
              <w:t>8. Impact / Auswirkung</w:t>
            </w:r>
          </w:p>
        </w:tc>
        <w:tc>
          <w:tcPr>
            <w:tcW w:type="dxa" w:w="6661"/>
            <w:vAlign w:val="center"/>
            <w:shd w:fill="F3F6FA" w:val="clear"/>
          </w:tcPr>
          <w:p>
            <w:pPr>
              <w:spacing w:before="0" w:after="40" w:line="276" w:lineRule="auto"/>
              <w:jc w:val="left"/>
            </w:pPr>
            <w:r>
              <w:rPr>
                <w:rFonts w:ascii="Arial" w:hAnsi="Arial"/>
                <w:b w:val="0"/>
                <w:color w:val="000000"/>
                <w:sz w:val="24"/>
              </w:rPr>
              <w:t>Gemessen werden Prognosefehler, monatliches Hinweisvolumen, Bearbeitungszeit und spätere Bestätigungsquote. Im retrospektiven Benchmark liegt der RMSE 15,9 Prozent unter der besten einfachen Baseline. Beim gewählten 99. Perzentil entstehen 9,5 Prüfhinweise pro Monat. Ein finanzieller Nutzen ist ohne Preis-, Maßnahmen- und Störungsdaten noch nicht belastbar berechenbar.</w:t>
            </w:r>
          </w:p>
        </w:tc>
      </w:tr>
      <w:tr>
        <w:trPr>
          <w:cantSplit w:val="true"/>
        </w:trPr>
        <w:tc>
          <w:tcPr>
            <w:tcW w:type="dxa" w:w="2409"/>
            <w:vAlign w:val="center"/>
            <w:shd w:fill="FFFFFF" w:val="clear"/>
          </w:tcPr>
          <w:p>
            <w:pPr>
              <w:spacing w:before="0" w:after="40" w:line="276" w:lineRule="auto"/>
              <w:jc w:val="left"/>
            </w:pPr>
            <w:r>
              <w:rPr>
                <w:rFonts w:ascii="Arial" w:hAnsi="Arial"/>
                <w:b w:val="0"/>
                <w:color w:val="000000"/>
                <w:sz w:val="24"/>
              </w:rPr>
              <w:t>9. Prediction Timing / Vorhersagezeitpunkt</w:t>
            </w:r>
          </w:p>
        </w:tc>
        <w:tc>
          <w:tcPr>
            <w:tcW w:type="dxa" w:w="6661"/>
            <w:vAlign w:val="center"/>
            <w:shd w:fill="FFFFFF" w:val="clear"/>
          </w:tcPr>
          <w:p>
            <w:pPr>
              <w:spacing w:before="0" w:after="40" w:line="276" w:lineRule="auto"/>
              <w:jc w:val="left"/>
            </w:pPr>
            <w:r>
              <w:rPr>
                <w:rFonts w:ascii="Arial" w:hAnsi="Arial"/>
                <w:b w:val="0"/>
                <w:color w:val="000000"/>
                <w:sz w:val="24"/>
              </w:rPr>
              <w:t>Die Folgemonatsprognose wird vor Beginn des Zielmonats erstellt. Ein Prüfhinweis kann erst nach Eingang des realisierten Monatsverbrauchs entstehen. Die Anwendung ist daher bewusst kein Echtzeitsystem.</w:t>
            </w:r>
          </w:p>
        </w:tc>
      </w:tr>
      <w:tr>
        <w:trPr>
          <w:cantSplit w:val="true"/>
        </w:trPr>
        <w:tc>
          <w:tcPr>
            <w:tcW w:type="dxa" w:w="2409"/>
            <w:vAlign w:val="center"/>
            <w:shd w:fill="F3F6FA" w:val="clear"/>
          </w:tcPr>
          <w:p>
            <w:pPr>
              <w:spacing w:before="0" w:after="40" w:line="276" w:lineRule="auto"/>
              <w:jc w:val="left"/>
            </w:pPr>
            <w:r>
              <w:rPr>
                <w:rFonts w:ascii="Arial" w:hAnsi="Arial"/>
                <w:b w:val="0"/>
                <w:color w:val="000000"/>
                <w:sz w:val="24"/>
              </w:rPr>
              <w:t>10. Monitoring &amp; Maintenance / Wartung</w:t>
            </w:r>
          </w:p>
        </w:tc>
        <w:tc>
          <w:tcPr>
            <w:tcW w:type="dxa" w:w="6661"/>
            <w:vAlign w:val="center"/>
            <w:shd w:fill="F3F6FA" w:val="clear"/>
          </w:tcPr>
          <w:p>
            <w:pPr>
              <w:spacing w:before="0" w:after="40" w:line="276" w:lineRule="auto"/>
              <w:jc w:val="left"/>
            </w:pPr>
            <w:r>
              <w:rPr>
                <w:rFonts w:ascii="Arial" w:hAnsi="Arial"/>
                <w:b w:val="0"/>
                <w:color w:val="000000"/>
                <w:sz w:val="24"/>
              </w:rPr>
              <w:t>Monatlich werden Datenqualität, Prognosefehler, Merkmalsverteilungen, Hinweisvolumen und fachliche Rückmeldungen überwacht. Modell und Schwelle werden erst bei dokumentierter Verschlechterung oder veränderten Rahmenbedingungen neu trainiert beziehungsweise kalibriert.</w:t>
            </w:r>
          </w:p>
        </w:tc>
      </w:tr>
    </w:tbl>
    <w:p>
      <w:pPr>
        <w:pStyle w:val="Heading2"/>
      </w:pPr>
      <w:r>
        <w:t>2.3   Kohärenz des Canvas</w:t>
      </w:r>
    </w:p>
    <w:p>
      <w:pPr>
        <w:jc w:val="left"/>
      </w:pPr>
      <w:r>
        <w:t>Die Felder Vorhersage, Lernansatz und Überprüfung bilden eine konsistente Einheit: Eine kontinuierliche Zielgröße wird durch überwachte Regression geschätzt und mit Regressionsmetriken in kWh bewertet. Die Vollaststunden dienen als interne Normierung; das Ergebnis für den Fachbereich bleibt eine Verbrauchsprognose in kWh.</w:t>
      </w:r>
    </w:p>
    <w:p>
      <w:pPr>
        <w:jc w:val="left"/>
      </w:pPr>
      <w:r>
        <w:t>Die Felder Entscheidung und Vorhersagezeitpunkt trennen Prognose und Anomalieprüfung bewusst: Die Prognose entsteht vor dem Zielmonat, der Prüfhinweis erst nach Eingang des Istwerts. Die Wirkung wird zunächst über belegbare Prognose- und Prozesskennzahlen gemessen. Nicht nachgewiesene Kosteneinsparungen werden nicht angenommen.</w:t>
      </w:r>
    </w:p>
    <w:p>
      <w:pPr>
        <w:jc w:val="center"/>
      </w:pPr>
      <w:r>
        <w:rPr>
          <w:b/>
        </w:rPr>
        <w:t>Daten  →  Vollaststunden  →  Regression  →  Rückrechnung in kWh  →  Residuum  →  Prüfhinweis  →  fachliche Entscheidung</w:t>
      </w:r>
    </w:p>
    <w:p w:rsidR="00000000" w:rsidDel="00000000" w:rsidP="00000000" w:rsidRDefault="00000000" w:rsidRPr="00000000" w14:paraId="0000005C">
      <w:pPr>
        <w:pStyle w:val="Heading1"/>
        <w:rPr/>
      </w:pPr>
      <w:r w:rsidDel="00000000" w:rsidR="00000000" w:rsidRPr="00000000">
        <w:rPr>
          <w:rtl w:val="0"/>
        </w:rPr>
        <w:t xml:space="preserve">3   Projektplanung und -durchführung</w:t>
      </w:r>
    </w:p>
    <w:p w:rsidR="00000000" w:rsidDel="00000000" w:rsidP="00000000" w:rsidRDefault="00000000" w:rsidRPr="00000000" w14:paraId="0000005D">
      <w:pPr>
        <w:pStyle w:val="Heading2"/>
        <w:rPr>
          <w:rFonts w:ascii="Arial" w:cs="Arial" w:eastAsia="Arial" w:hAnsi="Arial"/>
        </w:rPr>
      </w:pPr>
      <w:r w:rsidDel="00000000" w:rsidR="00000000" w:rsidRPr="00000000">
        <w:rPr>
          <w:rtl w:val="0"/>
        </w:rPr>
        <w:t xml:space="preserve">3.1   Projektorganisation</w:t>
      </w:r>
      <w:r w:rsidDel="00000000" w:rsidR="00000000" w:rsidRPr="00000000">
        <w:rPr>
          <w:rtl w:val="0"/>
        </w:rPr>
      </w:r>
    </w:p>
    <w:p w:rsidR="00000000" w:rsidDel="00000000" w:rsidP="00000000" w:rsidRDefault="00000000" w:rsidRPr="00000000" w14:paraId="0000005E">
      <w:pPr>
        <w:spacing w:after="240" w:before="240" w:lineRule="auto"/>
        <w:jc w:val="left"/>
        <w:rPr/>
      </w:pPr>
      <w:r>
        <w:t>Die Projektarbeit wurde layerorientiert organisiert. Dadurch blieb jedes Gruppenmitglied über alle Projektphasen für einen fachlichen Bereich hauptverantwortlich.</w:t>
      </w:r>
    </w:p>
    <w:tbl>
      <w:tblPr>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536"/>
        <w:gridCol w:w="4536"/>
      </w:tblGrid>
      <w:tr>
        <w:trPr>
          <w:tblHeader w:val="true"/>
          <w:cantSplit w:val="true"/>
        </w:trPr>
        <w:tc>
          <w:tcPr>
            <w:tcW w:type="dxa" w:w="2608"/>
            <w:vAlign w:val="center"/>
            <w:shd w:fill="17365D" w:val="clear"/>
          </w:tcPr>
          <w:p>
            <w:pPr>
              <w:spacing w:before="0" w:after="40" w:line="276" w:lineRule="auto"/>
              <w:jc w:val="left"/>
            </w:pPr>
            <w:r>
              <w:rPr>
                <w:rFonts w:ascii="Arial" w:hAnsi="Arial"/>
                <w:b/>
                <w:color w:val="FFFFFF"/>
                <w:sz w:val="24"/>
              </w:rPr>
              <w:t>Rolle</w:t>
            </w:r>
          </w:p>
        </w:tc>
        <w:tc>
          <w:tcPr>
            <w:tcW w:type="dxa" w:w="6463"/>
            <w:vAlign w:val="center"/>
            <w:shd w:fill="17365D" w:val="clear"/>
          </w:tcPr>
          <w:p>
            <w:pPr>
              <w:spacing w:before="0" w:after="40" w:line="276" w:lineRule="auto"/>
              <w:jc w:val="left"/>
            </w:pPr>
            <w:r>
              <w:rPr>
                <w:rFonts w:ascii="Arial" w:hAnsi="Arial"/>
                <w:b/>
                <w:color w:val="FFFFFF"/>
                <w:sz w:val="24"/>
              </w:rPr>
              <w:t>Hauptverantwortung</w:t>
            </w:r>
          </w:p>
        </w:tc>
      </w:tr>
      <w:tr>
        <w:trPr>
          <w:cantSplit w:val="true"/>
        </w:trPr>
        <w:tc>
          <w:tcPr>
            <w:tcW w:type="dxa" w:w="2608"/>
            <w:vAlign w:val="center"/>
            <w:shd w:fill="FFFFFF" w:val="clear"/>
          </w:tcPr>
          <w:p>
            <w:pPr>
              <w:spacing w:before="0" w:after="40" w:line="276" w:lineRule="auto"/>
              <w:jc w:val="left"/>
            </w:pPr>
            <w:r>
              <w:rPr>
                <w:rFonts w:ascii="Arial" w:hAnsi="Arial"/>
                <w:b w:val="0"/>
                <w:color w:val="000000"/>
                <w:sz w:val="24"/>
              </w:rPr>
              <w:t>Person A – Data Management</w:t>
            </w:r>
          </w:p>
        </w:tc>
        <w:tc>
          <w:tcPr>
            <w:tcW w:type="dxa" w:w="6463"/>
            <w:vAlign w:val="center"/>
            <w:shd w:fill="FFFFFF" w:val="clear"/>
          </w:tcPr>
          <w:p>
            <w:pPr>
              <w:spacing w:before="0" w:after="40" w:line="276" w:lineRule="auto"/>
              <w:jc w:val="left"/>
            </w:pPr>
            <w:r>
              <w:rPr>
                <w:rFonts w:ascii="Arial" w:hAnsi="Arial"/>
                <w:b w:val="0"/>
                <w:color w:val="000000"/>
                <w:sz w:val="24"/>
              </w:rPr>
              <w:t>Datenquelle, Import, Datenqualitätsprüfung, Bereinigung und Bereitstellung der analytischen Tabelle</w:t>
            </w:r>
          </w:p>
        </w:tc>
      </w:tr>
      <w:tr>
        <w:trPr>
          <w:cantSplit w:val="true"/>
        </w:trPr>
        <w:tc>
          <w:tcPr>
            <w:tcW w:type="dxa" w:w="2608"/>
            <w:vAlign w:val="center"/>
            <w:shd w:fill="F3F6FA" w:val="clear"/>
          </w:tcPr>
          <w:p>
            <w:pPr>
              <w:spacing w:before="0" w:after="40" w:line="276" w:lineRule="auto"/>
              <w:jc w:val="left"/>
            </w:pPr>
            <w:r>
              <w:rPr>
                <w:rFonts w:ascii="Arial" w:hAnsi="Arial"/>
                <w:b w:val="0"/>
                <w:color w:val="000000"/>
                <w:sz w:val="24"/>
              </w:rPr>
              <w:t>Person B – Analytics und Visualisierung</w:t>
            </w:r>
          </w:p>
        </w:tc>
        <w:tc>
          <w:tcPr>
            <w:tcW w:type="dxa" w:w="6463"/>
            <w:vAlign w:val="center"/>
            <w:shd w:fill="F3F6FA" w:val="clear"/>
          </w:tcPr>
          <w:p>
            <w:pPr>
              <w:spacing w:before="0" w:after="40" w:line="276" w:lineRule="auto"/>
              <w:jc w:val="left"/>
            </w:pPr>
            <w:r>
              <w:rPr>
                <w:rFonts w:ascii="Arial" w:hAnsi="Arial"/>
                <w:b w:val="0"/>
                <w:color w:val="000000"/>
                <w:sz w:val="24"/>
              </w:rPr>
              <w:t>Explorative Datenanalyse, fachliche Visualisierungen und Gestaltung des Dashboards</w:t>
            </w:r>
          </w:p>
        </w:tc>
      </w:tr>
      <w:tr>
        <w:trPr>
          <w:cantSplit w:val="true"/>
        </w:trPr>
        <w:tc>
          <w:tcPr>
            <w:tcW w:type="dxa" w:w="2608"/>
            <w:vAlign w:val="center"/>
            <w:shd w:fill="FFFFFF" w:val="clear"/>
          </w:tcPr>
          <w:p>
            <w:pPr>
              <w:spacing w:before="0" w:after="40" w:line="276" w:lineRule="auto"/>
              <w:jc w:val="left"/>
            </w:pPr>
            <w:r>
              <w:rPr>
                <w:rFonts w:ascii="Arial" w:hAnsi="Arial"/>
                <w:b w:val="0"/>
                <w:color w:val="000000"/>
                <w:sz w:val="24"/>
              </w:rPr>
              <w:t>Person C – Machine Learning</w:t>
            </w:r>
          </w:p>
        </w:tc>
        <w:tc>
          <w:tcPr>
            <w:tcW w:type="dxa" w:w="6463"/>
            <w:vAlign w:val="center"/>
            <w:shd w:fill="FFFFFF" w:val="clear"/>
          </w:tcPr>
          <w:p>
            <w:pPr>
              <w:spacing w:before="0" w:after="40" w:line="276" w:lineRule="auto"/>
              <w:jc w:val="left"/>
            </w:pPr>
            <w:r>
              <w:rPr>
                <w:rFonts w:ascii="Arial" w:hAnsi="Arial"/>
                <w:b w:val="0"/>
                <w:color w:val="000000"/>
                <w:sz w:val="24"/>
              </w:rPr>
              <w:t>Kapitel 2 sowie Zielvariable, Feature Engineering, zeitliche Validierung, Hyperparametervergleich, Modellwahl, Evaluation, Permutation Importance, Schwellenkalibrierung und Datenschnittstelle zum Dashboard</w:t>
            </w:r>
          </w:p>
        </w:tc>
      </w:tr>
    </w:tbl>
    <w:p w:rsidR="00000000" w:rsidDel="00000000" w:rsidP="00000000" w:rsidRDefault="00000000" w:rsidRPr="00000000" w14:paraId="0000005F">
      <w:pPr>
        <w:spacing w:after="240" w:before="240" w:lineRule="auto"/>
        <w:jc w:val="left"/>
        <w:rPr/>
      </w:pPr>
      <w:r>
        <w:t>Die Rollen wurden zu Projektbeginn vereinbart und über alle drei Sprints beibehalten. Im Sprint-Log ist jede Aufgabe genau einer hauptverantwortlichen Person zugeordnet; unterstützende Beiträge werden getrennt dokumentiert. Die Ergebnisse der drei Layer wurden anschließend zu Bericht, Präsentation und Live-Demo zusammengeführt.</w:t>
      </w:r>
    </w:p>
    <w:p w:rsidR="00000000" w:rsidDel="00000000" w:rsidP="00000000" w:rsidRDefault="00000000" w:rsidRPr="00000000" w14:paraId="00000060">
      <w:pPr>
        <w:pStyle w:val="Heading2"/>
        <w:rPr/>
      </w:pPr>
      <w:r w:rsidDel="00000000" w:rsidR="00000000" w:rsidRPr="00000000">
        <w:rPr>
          <w:rtl w:val="0"/>
        </w:rPr>
        <w:t xml:space="preserve">3.2   Projektziel</w:t>
      </w:r>
    </w:p>
    <w:p w:rsidR="00000000" w:rsidDel="00000000" w:rsidP="00000000" w:rsidRDefault="00000000" w:rsidRPr="00000000" w14:paraId="00000061">
      <w:pPr>
        <w:spacing w:after="240" w:before="240" w:lineRule="auto"/>
        <w:jc w:val="left"/>
        <w:rPr/>
      </w:pPr>
      <w:r>
        <w:t>Ziel des Projekts war es, für jeden Zähler die Vollaststunden des Folgemonats zu prognostizieren und das Ergebnis über die Vertragsleistung wieder in kWh umzurechnen. Die Prognose soll die monatliche Mengenplanung unterstützen. Nach Eingang des tatsächlichen Verbrauchs werden ungewöhnlich große Abweichungen als Prüfhinweise an das Netzmanagement übergeben. Das Modell bestätigt dabei weder einen Defekt noch eine Wartungsmaßnahme.</w:t>
      </w:r>
    </w:p>
    <w:p w:rsidR="00000000" w:rsidDel="00000000" w:rsidP="00000000" w:rsidRDefault="00000000" w:rsidRPr="00000000" w14:paraId="00000062">
      <w:pPr>
        <w:pStyle w:val="Heading2"/>
        <w:rPr/>
      </w:pPr>
      <w:r w:rsidDel="00000000" w:rsidR="00000000" w:rsidRPr="00000000">
        <w:rPr>
          <w:rtl w:val="0"/>
        </w:rPr>
        <w:t xml:space="preserve">3.3   Agile Projektsteuerung mit SCRUM</w:t>
      </w:r>
    </w:p>
    <w:p w:rsidR="00000000" w:rsidDel="00000000" w:rsidP="00000000" w:rsidRDefault="00000000" w:rsidRPr="00000000" w14:paraId="00000063">
      <w:pPr>
        <w:spacing w:after="240" w:before="240" w:lineRule="auto"/>
        <w:rPr/>
      </w:pPr>
      <w:r w:rsidDel="00000000" w:rsidR="00000000" w:rsidRPr="00000000">
        <w:rPr>
          <w:rtl w:val="0"/>
        </w:rPr>
        <w:t xml:space="preserve">Die Projektarbeit wurde mit einem angepassten SCRUM-Ansatz für ein dreiwöchiges Datenprojekt organisiert. Das Projekt wurde in drei einwöchige Sprints aufgeteilt: Sprint 1 umfasste Setup, Problemdefinition, Analyse des Ist-Zustands und Datenbereinigung. Sprint 2 konzentrierte sich auf die explorative Datenanalyse, Visualisierung und Entwicklung des ML Canvas. Sprint 3 umfasste Modellierung, Evaluierung und Aufbereitung der Ergebnisse. Anschließend folgte eine Finalisierungsphase für die Überarbeitung des Berichts und die Vorbereitung der Präsentation.</w:t>
      </w:r>
    </w:p>
    <w:p w:rsidR="00000000" w:rsidDel="00000000" w:rsidP="00000000" w:rsidRDefault="00000000" w:rsidRPr="00000000" w14:paraId="00000064">
      <w:pPr>
        <w:spacing w:after="240" w:before="240" w:lineRule="auto"/>
        <w:rPr/>
      </w:pPr>
      <w:r w:rsidDel="00000000" w:rsidR="00000000" w:rsidRPr="00000000">
        <w:rPr>
          <w:rtl w:val="0"/>
        </w:rPr>
        <w:t xml:space="preserve">Für jeden Sprint wurden konkrete Aufgaben und Ergebnisse festgelegt und am Sprint-Ende in einer kurzen Retrospektive reflektiert. Die wichtigsten Aktivitäten, Ergebnisse und Erkenntnisse wurden jeweils in einem Sprint-Log dokumentiert. Der Fokus lag auf einer klaren Aufgabenverteilung, kurzen Arbeitszyklen, regelmäßiger Abstimmung und der kontinuierlichen Anpassung des Vorgehens.</w:t>
      </w:r>
    </w:p>
    <w:p w:rsidR="00000000" w:rsidDel="00000000" w:rsidP="00000000" w:rsidRDefault="00000000" w:rsidRPr="00000000" w14:paraId="00000065">
      <w:pPr>
        <w:pStyle w:val="Heading3"/>
        <w:rPr>
          <w:rFonts w:ascii="Arial" w:cs="Arial" w:eastAsia="Arial" w:hAnsi="Arial"/>
        </w:rPr>
      </w:pPr>
      <w:r w:rsidDel="00000000" w:rsidR="00000000" w:rsidRPr="00000000">
        <w:rPr>
          <w:rtl w:val="0"/>
        </w:rPr>
        <w:t xml:space="preserve">3.3.1   Sprint 1 — Setup und Problemdefinition, </w:t>
      </w:r>
      <w:r w:rsidDel="00000000" w:rsidR="00000000" w:rsidRPr="00000000">
        <w:rPr>
          <w:rtl w:val="0"/>
        </w:rPr>
        <w:t xml:space="preserve">Datenbereinigung</w:t>
      </w: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Sprint-Ziel</w:t>
        <w:br w:type="textWrapping"/>
      </w:r>
      <w:r w:rsidDel="00000000" w:rsidR="00000000" w:rsidRPr="00000000">
        <w:rPr>
          <w:rtl w:val="0"/>
        </w:rPr>
        <w:t xml:space="preserve">Ziel des ersten Sprints war es, die Projektumgebung aufzusetzen, die Prognoseaufgabe zu definieren und aus dem Rohdatensatz eine konsistente analytische Datengrundlage für die weitere Modellierung zu erstellen.</w:t>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Aufgaben</w:t>
      </w:r>
    </w:p>
    <w:p w:rsidR="00000000" w:rsidDel="00000000" w:rsidP="00000000" w:rsidRDefault="00000000" w:rsidRPr="00000000" w14:paraId="00000068">
      <w:pPr>
        <w:numPr>
          <w:ilvl w:val="0"/>
          <w:numId w:val="3"/>
        </w:numPr>
        <w:spacing w:after="0" w:afterAutospacing="0" w:before="240" w:lineRule="auto"/>
        <w:ind w:left="720" w:hanging="360"/>
      </w:pPr>
      <w:r w:rsidDel="00000000" w:rsidR="00000000" w:rsidRPr="00000000">
        <w:rPr>
          <w:rtl w:val="0"/>
        </w:rPr>
        <w:t xml:space="preserve">Rohdaten einlesen und Datenstruktur sowie Variablen prüfen</w:t>
      </w:r>
    </w:p>
    <w:p w:rsidR="00000000" w:rsidDel="00000000" w:rsidP="00000000" w:rsidRDefault="00000000" w:rsidRPr="00000000" w14:paraId="00000069">
      <w:pPr>
        <w:numPr>
          <w:ilvl w:val="0"/>
          <w:numId w:val="3"/>
        </w:numPr>
        <w:spacing w:after="0" w:afterAutospacing="0" w:before="0" w:beforeAutospacing="0" w:lineRule="auto"/>
        <w:ind w:left="720" w:hanging="360"/>
      </w:pPr>
      <w:r w:rsidDel="00000000" w:rsidR="00000000" w:rsidRPr="00000000">
        <w:rPr>
          <w:rtl w:val="0"/>
        </w:rPr>
        <w:t xml:space="preserve">Datentypen, Kategorien und Datumsformate vereinheitlichen</w:t>
      </w:r>
    </w:p>
    <w:p w:rsidR="00000000" w:rsidDel="00000000" w:rsidP="00000000" w:rsidRDefault="00000000" w:rsidRPr="00000000" w14:paraId="0000006A">
      <w:pPr>
        <w:numPr>
          <w:ilvl w:val="0"/>
          <w:numId w:val="3"/>
        </w:numPr>
        <w:spacing w:after="0" w:afterAutospacing="0" w:before="0" w:beforeAutospacing="0" w:lineRule="auto"/>
        <w:ind w:left="720" w:hanging="360"/>
      </w:pPr>
      <w:r w:rsidDel="00000000" w:rsidR="00000000" w:rsidRPr="00000000">
        <w:rPr>
          <w:rtl w:val="0"/>
        </w:rPr>
        <w:t xml:space="preserve">Duplikate und doppelte Zähler-Monat-Kombinationen identifizieren</w:t>
      </w:r>
    </w:p>
    <w:p w:rsidR="00000000" w:rsidDel="00000000" w:rsidP="00000000" w:rsidRDefault="00000000" w:rsidRPr="00000000" w14:paraId="0000006B">
      <w:pPr>
        <w:numPr>
          <w:ilvl w:val="0"/>
          <w:numId w:val="3"/>
        </w:numPr>
        <w:spacing w:after="0" w:afterAutospacing="0" w:before="0" w:beforeAutospacing="0" w:lineRule="auto"/>
        <w:ind w:left="720" w:hanging="360"/>
      </w:pPr>
      <w:r w:rsidDel="00000000" w:rsidR="00000000" w:rsidRPr="00000000">
        <w:rPr>
          <w:rtl w:val="0"/>
        </w:rPr>
        <w:t xml:space="preserve">Fehlende Werte analysieren und nach ihrer Ursache bewerten</w:t>
      </w:r>
    </w:p>
    <w:p w:rsidR="00000000" w:rsidDel="00000000" w:rsidP="00000000" w:rsidRDefault="00000000" w:rsidRPr="00000000" w14:paraId="0000006C">
      <w:pPr>
        <w:numPr>
          <w:ilvl w:val="0"/>
          <w:numId w:val="3"/>
        </w:numPr>
        <w:spacing w:after="0" w:afterAutospacing="0" w:before="0" w:beforeAutospacing="0" w:lineRule="auto"/>
        <w:ind w:left="720" w:hanging="360"/>
      </w:pPr>
      <w:r w:rsidDel="00000000" w:rsidR="00000000" w:rsidRPr="00000000">
        <w:rPr>
          <w:rtl w:val="0"/>
        </w:rPr>
        <w:t xml:space="preserve">Verbrauchswerte auf eine einheitliche Einheit bringen</w:t>
      </w:r>
    </w:p>
    <w:p w:rsidR="00000000" w:rsidDel="00000000" w:rsidP="00000000" w:rsidRDefault="00000000" w:rsidRPr="00000000" w14:paraId="0000006D">
      <w:pPr>
        <w:numPr>
          <w:ilvl w:val="0"/>
          <w:numId w:val="3"/>
        </w:numPr>
        <w:spacing w:after="0" w:afterAutospacing="0" w:before="0" w:beforeAutospacing="0" w:lineRule="auto"/>
        <w:ind w:left="720" w:hanging="360"/>
      </w:pPr>
      <w:r w:rsidDel="00000000" w:rsidR="00000000" w:rsidRPr="00000000">
        <w:rPr>
          <w:rtl w:val="0"/>
        </w:rPr>
        <w:t xml:space="preserve">Ungültige und physikalisch unplausible Verbrauchswerte prüfen</w:t>
      </w:r>
    </w:p>
    <w:p w:rsidR="00000000" w:rsidDel="00000000" w:rsidP="00000000" w:rsidRDefault="00000000" w:rsidRPr="00000000" w14:paraId="0000006E">
      <w:pPr>
        <w:numPr>
          <w:ilvl w:val="0"/>
          <w:numId w:val="3"/>
        </w:numPr>
        <w:spacing w:after="0" w:afterAutospacing="0" w:before="0" w:beforeAutospacing="0" w:lineRule="auto"/>
        <w:ind w:left="720" w:hanging="360"/>
      </w:pPr>
      <w:r w:rsidDel="00000000" w:rsidR="00000000" w:rsidRPr="00000000">
        <w:rPr>
          <w:rtl w:val="0"/>
        </w:rPr>
        <w:t xml:space="preserve">Ausreißer analysieren und zwischen echten Verbrauchsspitzen und Datenfehlern unterscheiden</w:t>
      </w:r>
    </w:p>
    <w:p w:rsidR="00000000" w:rsidDel="00000000" w:rsidP="00000000" w:rsidRDefault="00000000" w:rsidRPr="00000000" w14:paraId="0000006F">
      <w:pPr>
        <w:numPr>
          <w:ilvl w:val="0"/>
          <w:numId w:val="3"/>
        </w:numPr>
        <w:spacing w:after="0" w:afterAutospacing="0" w:before="0" w:beforeAutospacing="0" w:lineRule="auto"/>
        <w:ind w:left="720" w:hanging="360"/>
      </w:pPr>
      <w:r w:rsidDel="00000000" w:rsidR="00000000" w:rsidRPr="00000000">
        <w:rPr>
          <w:rtl w:val="0"/>
        </w:rPr>
        <w:t xml:space="preserve">Historische Verbrauchsmerkmale auf zeitliche Konsistenz prüfen</w:t>
      </w:r>
    </w:p>
    <w:p w:rsidR="00000000" w:rsidDel="00000000" w:rsidP="00000000" w:rsidRDefault="00000000" w:rsidRPr="00000000" w14:paraId="00000070">
      <w:pPr>
        <w:numPr>
          <w:ilvl w:val="0"/>
          <w:numId w:val="3"/>
        </w:numPr>
        <w:spacing w:after="0" w:afterAutospacing="0" w:before="0" w:beforeAutospacing="0" w:lineRule="auto"/>
        <w:ind w:left="720" w:hanging="360"/>
      </w:pPr>
      <w:r w:rsidDel="00000000" w:rsidR="00000000" w:rsidRPr="00000000">
        <w:rPr>
          <w:rtl w:val="0"/>
        </w:rPr>
        <w:t xml:space="preserve">Die Beziehung zwischen </w:t>
      </w:r>
      <w:r w:rsidDel="00000000" w:rsidR="00000000" w:rsidRPr="00000000">
        <w:rPr>
          <w:rFonts w:ascii="Roboto Mono" w:cs="Roboto Mono" w:eastAsia="Roboto Mono" w:hAnsi="Roboto Mono"/>
          <w:color w:val="188038"/>
          <w:rtl w:val="0"/>
        </w:rPr>
        <w:t xml:space="preserve">kunde_id</w:t>
      </w:r>
      <w:r w:rsidDel="00000000" w:rsidR="00000000" w:rsidRPr="00000000">
        <w:rPr>
          <w:rtl w:val="0"/>
        </w:rPr>
        <w:t xml:space="preserve"> und </w:t>
      </w:r>
      <w:r w:rsidDel="00000000" w:rsidR="00000000" w:rsidRPr="00000000">
        <w:rPr>
          <w:rFonts w:ascii="Roboto Mono" w:cs="Roboto Mono" w:eastAsia="Roboto Mono" w:hAnsi="Roboto Mono"/>
          <w:color w:val="188038"/>
          <w:rtl w:val="0"/>
        </w:rPr>
        <w:t xml:space="preserve">zaehler_id</w:t>
      </w:r>
      <w:r w:rsidDel="00000000" w:rsidR="00000000" w:rsidRPr="00000000">
        <w:rPr>
          <w:rtl w:val="0"/>
        </w:rPr>
        <w:t xml:space="preserve"> überprüfen</w:t>
      </w:r>
    </w:p>
    <w:p w:rsidR="00000000" w:rsidDel="00000000" w:rsidP="00000000" w:rsidRDefault="00000000" w:rsidRPr="00000000" w14:paraId="00000071">
      <w:pPr>
        <w:numPr>
          <w:ilvl w:val="0"/>
          <w:numId w:val="3"/>
        </w:numPr>
        <w:spacing w:after="240" w:before="0" w:beforeAutospacing="0" w:lineRule="auto"/>
        <w:ind w:left="720" w:hanging="360"/>
      </w:pPr>
      <w:r w:rsidDel="00000000" w:rsidR="00000000" w:rsidRPr="00000000">
        <w:rPr>
          <w:rtl w:val="0"/>
        </w:rPr>
        <w:t>Die Daten für die spätere zeitbasierte Aufteilung in Modellentwicklung (2024) und retrospektiven Benchmark (2025) vorbereiten</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Ergebnisse</w:t>
        <w:br w:type="textWrapping"/>
      </w:r>
      <w:r w:rsidDel="00000000" w:rsidR="00000000" w:rsidRPr="00000000">
        <w:rPr>
          <w:rtl w:val="0"/>
        </w:rPr>
        <w:t xml:space="preserve">Der Rohdatensatz umfasste </w:t>
      </w:r>
      <w:r w:rsidDel="00000000" w:rsidR="00000000" w:rsidRPr="00000000">
        <w:rPr>
          <w:b w:val="1"/>
          <w:bCs w:val="1"/>
          <w:rtl w:val="0"/>
        </w:rPr>
        <w:t xml:space="preserve">16.830 Datensätze, 16 Spalten, 700 Zähler und den Zeitraum 01/2024–12/2025</w:t>
      </w:r>
      <w:r w:rsidDel="00000000" w:rsidR="00000000" w:rsidRPr="00000000">
        <w:rPr>
          <w:rtl w:val="0"/>
        </w:rPr>
        <w:t xml:space="preserve">. Im Rahmen der Bereinigung wurden mehrere Datenqualitätsprobleme identifiziert und behandelt:</w:t>
      </w:r>
    </w:p>
    <w:p w:rsidR="00000000" w:rsidDel="00000000" w:rsidP="00000000" w:rsidRDefault="00000000" w:rsidRPr="00000000" w14:paraId="00000073">
      <w:pPr>
        <w:numPr>
          <w:ilvl w:val="0"/>
          <w:numId w:val="1"/>
        </w:numPr>
        <w:spacing w:after="0" w:afterAutospacing="0" w:before="240" w:lineRule="auto"/>
        <w:ind w:left="720" w:hanging="360"/>
      </w:pPr>
      <w:r w:rsidDel="00000000" w:rsidR="00000000" w:rsidRPr="00000000">
        <w:rPr>
          <w:b w:val="1"/>
          <w:bCs w:val="1"/>
          <w:rtl w:val="0"/>
        </w:rPr>
        <w:t xml:space="preserve">505 Inkonsistenzen bei </w:t>
      </w:r>
      <w:r w:rsidDel="00000000" w:rsidR="00000000" w:rsidRPr="00000000">
        <w:rPr>
          <w:rFonts w:ascii="Roboto Mono" w:cs="Roboto Mono" w:eastAsia="Roboto Mono" w:hAnsi="Roboto Mono"/>
          <w:b w:val="1"/>
          <w:bCs w:val="1"/>
          <w:color w:val="188038"/>
          <w:rtl w:val="0"/>
        </w:rPr>
        <w:t xml:space="preserve">kundentyp</w:t>
      </w:r>
      <w:r w:rsidDel="00000000" w:rsidR="00000000" w:rsidRPr="00000000">
        <w:rPr>
          <w:b w:val="1"/>
          <w:bCs w:val="1"/>
          <w:rtl w:val="0"/>
        </w:rPr>
        <w:t xml:space="preserve"> (3,0 %)</w:t>
      </w:r>
      <w:r w:rsidDel="00000000" w:rsidR="00000000" w:rsidRPr="00000000">
        <w:rPr>
          <w:rtl w:val="0"/>
        </w:rPr>
        <w:t xml:space="preserve"> wurden vereinheitlicht.</w:t>
      </w:r>
    </w:p>
    <w:p w:rsidR="00000000" w:rsidDel="00000000" w:rsidP="00000000" w:rsidRDefault="00000000" w:rsidRPr="00000000" w14:paraId="00000074">
      <w:pPr>
        <w:numPr>
          <w:ilvl w:val="0"/>
          <w:numId w:val="1"/>
        </w:numPr>
        <w:spacing w:after="0" w:afterAutospacing="0" w:before="0" w:beforeAutospacing="0" w:lineRule="auto"/>
        <w:ind w:left="720" w:hanging="360"/>
      </w:pPr>
      <w:r w:rsidDel="00000000" w:rsidR="00000000" w:rsidRPr="00000000">
        <w:rPr>
          <w:b w:val="1"/>
          <w:bCs w:val="1"/>
          <w:rtl w:val="0"/>
        </w:rPr>
        <w:t xml:space="preserve">11.316 Inkonsistenzen bei </w:t>
      </w:r>
      <w:r w:rsidDel="00000000" w:rsidR="00000000" w:rsidRPr="00000000">
        <w:rPr>
          <w:rFonts w:ascii="Roboto Mono" w:cs="Roboto Mono" w:eastAsia="Roboto Mono" w:hAnsi="Roboto Mono"/>
          <w:b w:val="1"/>
          <w:bCs w:val="1"/>
          <w:color w:val="188038"/>
          <w:rtl w:val="0"/>
        </w:rPr>
        <w:t xml:space="preserve">monat</w:t>
      </w:r>
      <w:r w:rsidDel="00000000" w:rsidR="00000000" w:rsidRPr="00000000">
        <w:rPr>
          <w:b w:val="1"/>
          <w:bCs w:val="1"/>
          <w:rtl w:val="0"/>
        </w:rPr>
        <w:t xml:space="preserve"> (67,3 %)</w:t>
      </w:r>
      <w:r w:rsidDel="00000000" w:rsidR="00000000" w:rsidRPr="00000000">
        <w:rPr>
          <w:rtl w:val="0"/>
        </w:rPr>
        <w:t xml:space="preserve"> wurden durch ein einheitliches Datumsformat bereinigt.</w:t>
      </w:r>
    </w:p>
    <w:p w:rsidR="00000000" w:rsidDel="00000000" w:rsidP="00000000" w:rsidRDefault="00000000" w:rsidRPr="00000000" w14:paraId="00000075">
      <w:pPr>
        <w:numPr>
          <w:ilvl w:val="0"/>
          <w:numId w:val="1"/>
        </w:numPr>
        <w:spacing w:after="0" w:afterAutospacing="0" w:before="0" w:beforeAutospacing="0" w:lineRule="auto"/>
        <w:ind w:left="720" w:hanging="360"/>
      </w:pPr>
      <w:r w:rsidDel="00000000" w:rsidR="00000000" w:rsidRPr="00000000">
        <w:rPr>
          <w:b w:val="1"/>
          <w:bCs w:val="1"/>
          <w:rtl w:val="0"/>
        </w:rPr>
        <w:t xml:space="preserve">672 Verbrauchswerte (4,0 %)</w:t>
      </w:r>
      <w:r w:rsidDel="00000000" w:rsidR="00000000" w:rsidRPr="00000000">
        <w:rPr>
          <w:rtl w:val="0"/>
        </w:rPr>
        <w:t xml:space="preserve"> lagen in MWh vor und wurden in kWh umgerechnet.</w:t>
      </w:r>
    </w:p>
    <w:p w:rsidR="00000000" w:rsidDel="00000000" w:rsidP="00000000" w:rsidRDefault="00000000" w:rsidRPr="00000000" w14:paraId="00000076">
      <w:pPr>
        <w:numPr>
          <w:ilvl w:val="0"/>
          <w:numId w:val="1"/>
        </w:numPr>
        <w:spacing w:after="0" w:afterAutospacing="0" w:before="0" w:beforeAutospacing="0" w:lineRule="auto"/>
        <w:ind w:left="720" w:hanging="360"/>
      </w:pPr>
      <w:r w:rsidDel="00000000" w:rsidR="00000000" w:rsidRPr="00000000">
        <w:rPr>
          <w:b w:val="1"/>
          <w:bCs w:val="1"/>
          <w:rtl w:val="0"/>
        </w:rPr>
        <w:t xml:space="preserve">30 doppelte Datensätze bzw. Zähler-Monat-Kombinationen (0,2 %)</w:t>
      </w:r>
      <w:r w:rsidDel="00000000" w:rsidR="00000000" w:rsidRPr="00000000">
        <w:rPr>
          <w:rtl w:val="0"/>
        </w:rPr>
        <w:t xml:space="preserve"> wurden entfernt.</w:t>
      </w:r>
    </w:p>
    <w:p w:rsidR="00000000" w:rsidDel="00000000" w:rsidP="00000000" w:rsidRDefault="00000000" w:rsidRPr="00000000" w14:paraId="00000077">
      <w:pPr>
        <w:numPr>
          <w:ilvl w:val="0"/>
          <w:numId w:val="1"/>
        </w:numPr>
        <w:spacing w:after="0" w:afterAutospacing="0" w:before="0" w:beforeAutospacing="0" w:lineRule="auto"/>
        <w:ind w:left="720" w:hanging="360"/>
      </w:pPr>
      <w:r w:rsidDel="00000000" w:rsidR="00000000" w:rsidRPr="00000000">
        <w:rPr>
          <w:rtl w:val="0"/>
        </w:rPr>
        <w:t xml:space="preserve">Bei </w:t>
      </w:r>
      <w:r w:rsidDel="00000000" w:rsidR="00000000" w:rsidRPr="00000000">
        <w:rPr>
          <w:rFonts w:ascii="Roboto Mono" w:cs="Roboto Mono" w:eastAsia="Roboto Mono" w:hAnsi="Roboto Mono"/>
          <w:b w:val="1"/>
          <w:bCs w:val="1"/>
          <w:color w:val="188038"/>
          <w:rtl w:val="0"/>
        </w:rPr>
        <w:t xml:space="preserve">mittlere_temperatur_c</w:t>
      </w:r>
      <w:r w:rsidDel="00000000" w:rsidR="00000000" w:rsidRPr="00000000">
        <w:rPr>
          <w:b w:val="1"/>
          <w:bCs w:val="1"/>
          <w:rtl w:val="0"/>
        </w:rPr>
        <w:t xml:space="preserve"> fehlten 504 Werte (3,0 %)</w:t>
      </w:r>
      <w:r w:rsidDel="00000000" w:rsidR="00000000" w:rsidRPr="00000000">
        <w:rPr>
          <w:rtl w:val="0"/>
        </w:rPr>
        <w:t xml:space="preserve">; diese wurden für die EDA zunächst beibehalten.</w:t>
      </w:r>
    </w:p>
    <w:p w:rsidR="00000000" w:rsidDel="00000000" w:rsidP="00000000" w:rsidRDefault="00000000" w:rsidRPr="00000000" w14:paraId="00000078">
      <w:pPr>
        <w:numPr>
          <w:ilvl w:val="0"/>
          <w:numId w:val="1"/>
        </w:numPr>
        <w:spacing w:after="0" w:afterAutospacing="0" w:before="0" w:beforeAutospacing="0" w:lineRule="auto"/>
        <w:ind w:left="720" w:hanging="360"/>
      </w:pPr>
      <w:r w:rsidDel="00000000" w:rsidR="00000000" w:rsidRPr="00000000">
        <w:rPr>
          <w:rtl w:val="0"/>
        </w:rPr>
        <w:t xml:space="preserve">Bei </w:t>
      </w:r>
      <w:r w:rsidDel="00000000" w:rsidR="00000000" w:rsidRPr="00000000">
        <w:rPr>
          <w:rFonts w:ascii="Roboto Mono" w:cs="Roboto Mono" w:eastAsia="Roboto Mono" w:hAnsi="Roboto Mono"/>
          <w:b w:val="1"/>
          <w:bCs w:val="1"/>
          <w:color w:val="188038"/>
          <w:rtl w:val="0"/>
        </w:rPr>
        <w:t xml:space="preserve">produktionsplan_index</w:t>
      </w:r>
      <w:r w:rsidDel="00000000" w:rsidR="00000000" w:rsidRPr="00000000">
        <w:rPr>
          <w:b w:val="1"/>
          <w:bCs w:val="1"/>
          <w:rtl w:val="0"/>
        </w:rPr>
        <w:t xml:space="preserve"> fehlten 672 Werte (4,0 %)</w:t>
      </w:r>
      <w:r w:rsidDel="00000000" w:rsidR="00000000" w:rsidRPr="00000000">
        <w:rPr>
          <w:rtl w:val="0"/>
        </w:rPr>
        <w:t xml:space="preserve">. Aufgrund der saisonalen Struktur wurde auf eine globale Mittelwert-Imputation verzichtet.</w:t>
      </w:r>
    </w:p>
    <w:p w:rsidR="00000000" w:rsidDel="00000000" w:rsidP="00000000" w:rsidRDefault="00000000" w:rsidRPr="00000000" w14:paraId="00000079">
      <w:pPr>
        <w:numPr>
          <w:ilvl w:val="0"/>
          <w:numId w:val="1"/>
        </w:numPr>
        <w:spacing w:after="0" w:afterAutospacing="0" w:before="0" w:beforeAutospacing="0" w:lineRule="auto"/>
        <w:ind w:left="720" w:hanging="360"/>
      </w:pPr>
      <w:r w:rsidDel="00000000" w:rsidR="00000000" w:rsidRPr="00000000">
        <w:rPr>
          <w:b w:val="1"/>
          <w:bCs w:val="1"/>
          <w:rtl w:val="0"/>
        </w:rPr>
        <w:t xml:space="preserve">700 fehlende Vormonatswerte (4,2 %)</w:t>
      </w:r>
      <w:r w:rsidDel="00000000" w:rsidR="00000000" w:rsidRPr="00000000">
        <w:rPr>
          <w:rtl w:val="0"/>
        </w:rPr>
        <w:t xml:space="preserve"> waren strukturell bedingt, da für Januar 2024 kein Dezember 2023 im Datensatz vorhanden ist.</w:t>
      </w:r>
    </w:p>
    <w:p w:rsidR="00000000" w:rsidDel="00000000" w:rsidP="00000000" w:rsidRDefault="00000000" w:rsidRPr="00000000" w14:paraId="0000007A">
      <w:pPr>
        <w:numPr>
          <w:ilvl w:val="0"/>
          <w:numId w:val="1"/>
        </w:numPr>
        <w:spacing w:after="0" w:afterAutospacing="0" w:before="0" w:beforeAutospacing="0" w:lineRule="auto"/>
        <w:ind w:left="720" w:hanging="360"/>
      </w:pPr>
      <w:r w:rsidDel="00000000" w:rsidR="00000000" w:rsidRPr="00000000">
        <w:rPr>
          <w:b w:val="1"/>
          <w:bCs w:val="1"/>
          <w:rtl w:val="0"/>
        </w:rPr>
        <w:t xml:space="preserve">8.400 fehlende Vorjahreswerte (50 %)</w:t>
      </w:r>
      <w:r w:rsidDel="00000000" w:rsidR="00000000" w:rsidRPr="00000000">
        <w:rPr>
          <w:rtl w:val="0"/>
        </w:rPr>
        <w:t xml:space="preserve"> waren ebenfalls strukturell bedingt, da für die Monate des Jahres 2024 keine Vorjahresdaten innerhalb des Datensatzes vorlagen.</w:t>
      </w:r>
    </w:p>
    <w:p w:rsidR="00000000" w:rsidDel="00000000" w:rsidP="00000000" w:rsidRDefault="00000000" w:rsidRPr="00000000" w14:paraId="0000007B">
      <w:pPr>
        <w:numPr>
          <w:ilvl w:val="0"/>
          <w:numId w:val="1"/>
        </w:numPr>
        <w:spacing w:after="0" w:afterAutospacing="0" w:before="0" w:beforeAutospacing="0" w:lineRule="auto"/>
        <w:ind w:left="720" w:hanging="360"/>
      </w:pPr>
      <w:r w:rsidDel="00000000" w:rsidR="00000000" w:rsidRPr="00000000">
        <w:rPr>
          <w:b w:val="1"/>
          <w:bCs w:val="1"/>
          <w:rtl w:val="0"/>
        </w:rPr>
        <w:t xml:space="preserve">1 fehlender Wert beim 3-Monats-Durchschnitt (&lt;0,1 %)</w:t>
      </w:r>
      <w:r w:rsidDel="00000000" w:rsidR="00000000" w:rsidRPr="00000000">
        <w:rPr>
          <w:rtl w:val="0"/>
        </w:rPr>
        <w:t xml:space="preserve"> wurde geprüft.</w:t>
      </w:r>
    </w:p>
    <w:p w:rsidR="00000000" w:rsidDel="00000000" w:rsidP="00000000" w:rsidRDefault="00000000" w:rsidRPr="00000000" w14:paraId="0000007C">
      <w:pPr>
        <w:numPr>
          <w:ilvl w:val="0"/>
          <w:numId w:val="1"/>
        </w:numPr>
        <w:spacing w:after="0" w:afterAutospacing="0" w:before="0" w:beforeAutospacing="0" w:lineRule="auto"/>
        <w:ind w:left="720" w:hanging="360"/>
      </w:pPr>
      <w:r w:rsidDel="00000000" w:rsidR="00000000" w:rsidRPr="00000000">
        <w:rPr>
          <w:b w:val="1"/>
          <w:bCs w:val="1"/>
          <w:rtl w:val="0"/>
        </w:rPr>
        <w:t xml:space="preserve">3 fehlende Zielwerte </w:t>
      </w:r>
      <w:r w:rsidDel="00000000" w:rsidR="00000000" w:rsidRPr="00000000">
        <w:rPr>
          <w:rFonts w:ascii="Roboto Mono" w:cs="Roboto Mono" w:eastAsia="Roboto Mono" w:hAnsi="Roboto Mono"/>
          <w:b w:val="1"/>
          <w:bCs w:val="1"/>
          <w:color w:val="188038"/>
          <w:rtl w:val="0"/>
        </w:rPr>
        <w:t xml:space="preserve">verbrauch_kwh</w:t>
      </w:r>
      <w:r w:rsidDel="00000000" w:rsidR="00000000" w:rsidRPr="00000000">
        <w:rPr>
          <w:b w:val="1"/>
          <w:bCs w:val="1"/>
          <w:rtl w:val="0"/>
        </w:rPr>
        <w:t xml:space="preserve"> (&lt;0,1 %)</w:t>
      </w:r>
      <w:r w:rsidDel="00000000" w:rsidR="00000000" w:rsidRPr="00000000">
        <w:rPr>
          <w:rtl w:val="0"/>
        </w:rPr>
        <w:t xml:space="preserve"> wurden anhand des zeitlich benachbarten Vormonatsverbrauchs ergänzt.</w:t>
      </w:r>
    </w:p>
    <w:p w:rsidR="00000000" w:rsidDel="00000000" w:rsidP="00000000" w:rsidRDefault="00000000" w:rsidRPr="00000000" w14:paraId="0000007D">
      <w:pPr>
        <w:numPr>
          <w:ilvl w:val="0"/>
          <w:numId w:val="1"/>
        </w:numPr>
        <w:spacing w:after="0" w:afterAutospacing="0" w:before="0" w:beforeAutospacing="0" w:lineRule="auto"/>
        <w:ind w:left="720" w:hanging="360"/>
      </w:pPr>
      <w:r w:rsidDel="00000000" w:rsidR="00000000" w:rsidRPr="00000000">
        <w:rPr>
          <w:b w:val="1"/>
          <w:bCs w:val="1"/>
          <w:rtl w:val="0"/>
        </w:rPr>
        <w:t xml:space="preserve">20 Ausreißer in </w:t>
      </w:r>
      <w:r w:rsidDel="00000000" w:rsidR="00000000" w:rsidRPr="00000000">
        <w:rPr>
          <w:rFonts w:ascii="Roboto Mono" w:cs="Roboto Mono" w:eastAsia="Roboto Mono" w:hAnsi="Roboto Mono"/>
          <w:b w:val="1"/>
          <w:bCs w:val="1"/>
          <w:color w:val="188038"/>
          <w:rtl w:val="0"/>
        </w:rPr>
        <w:t xml:space="preserve">verbrauch_kwh</w:t>
      </w:r>
      <w:r w:rsidDel="00000000" w:rsidR="00000000" w:rsidRPr="00000000">
        <w:rPr>
          <w:b w:val="1"/>
          <w:bCs w:val="1"/>
          <w:rtl w:val="0"/>
        </w:rPr>
        <w:t xml:space="preserve"> (0,1 %)</w:t>
      </w:r>
      <w:r w:rsidDel="00000000" w:rsidR="00000000" w:rsidRPr="00000000">
        <w:rPr>
          <w:rtl w:val="0"/>
        </w:rPr>
        <w:t xml:space="preserve"> wurden geprüft. Physikalisch unplausible Werte wurden bereinigt, plausible hohe Verbrauchsspitzen jedoch beibehalten.</w:t>
      </w:r>
    </w:p>
    <w:p w:rsidR="00000000" w:rsidDel="00000000" w:rsidP="00000000" w:rsidRDefault="00000000" w:rsidRPr="00000000" w14:paraId="0000007E">
      <w:pPr>
        <w:numPr>
          <w:ilvl w:val="0"/>
          <w:numId w:val="1"/>
        </w:numPr>
        <w:spacing w:after="240" w:before="0" w:beforeAutospacing="0" w:lineRule="auto"/>
        <w:ind w:left="720" w:hanging="360"/>
      </w:pPr>
      <w:r w:rsidDel="00000000" w:rsidR="00000000" w:rsidRPr="00000000">
        <w:rPr>
          <w:rtl w:val="0"/>
        </w:rPr>
        <w:t xml:space="preserve">Die Zuordnung zwischen </w:t>
      </w:r>
      <w:r w:rsidDel="00000000" w:rsidR="00000000" w:rsidRPr="00000000">
        <w:rPr>
          <w:rFonts w:ascii="Roboto Mono" w:cs="Roboto Mono" w:eastAsia="Roboto Mono" w:hAnsi="Roboto Mono"/>
          <w:color w:val="188038"/>
          <w:rtl w:val="0"/>
        </w:rPr>
        <w:t xml:space="preserve">kunde_id</w:t>
      </w:r>
      <w:r w:rsidDel="00000000" w:rsidR="00000000" w:rsidRPr="00000000">
        <w:rPr>
          <w:rtl w:val="0"/>
        </w:rPr>
        <w:t xml:space="preserve"> und </w:t>
      </w:r>
      <w:r w:rsidDel="00000000" w:rsidR="00000000" w:rsidRPr="00000000">
        <w:rPr>
          <w:rFonts w:ascii="Roboto Mono" w:cs="Roboto Mono" w:eastAsia="Roboto Mono" w:hAnsi="Roboto Mono"/>
          <w:color w:val="188038"/>
          <w:rtl w:val="0"/>
        </w:rPr>
        <w:t xml:space="preserve">zaehler_id</w:t>
      </w:r>
      <w:r w:rsidDel="00000000" w:rsidR="00000000" w:rsidRPr="00000000">
        <w:rPr>
          <w:rtl w:val="0"/>
        </w:rPr>
        <w:t xml:space="preserve"> wurde geprüft, um sicherzustellen, dass keine Mehrfachzuordnungen vorliegen.</w:t>
      </w:r>
    </w:p>
    <w:p w:rsidR="00000000" w:rsidDel="00000000" w:rsidP="00000000" w:rsidRDefault="00000000" w:rsidRPr="00000000" w14:paraId="0000007F">
      <w:pPr>
        <w:spacing w:after="240" w:before="240" w:lineRule="auto"/>
        <w:rPr/>
      </w:pPr>
      <w:r w:rsidDel="00000000" w:rsidR="00000000" w:rsidRPr="00000000">
        <w:rPr>
          <w:rtl w:val="0"/>
        </w:rPr>
        <w:t xml:space="preserve">Damit wurde eine bereinigte und fachlich geprüfte Datengrundlage für die explorative Analyse und die anschließende Modellierung geschaffen.</w:t>
      </w:r>
    </w:p>
    <w:p w:rsidR="00000000" w:rsidDel="00000000" w:rsidP="00000000" w:rsidRDefault="00000000" w:rsidRPr="00000000" w14:paraId="00000080">
      <w:pPr>
        <w:spacing w:after="240" w:before="240" w:lineRule="auto"/>
        <w:rPr/>
      </w:pPr>
      <w:r w:rsidDel="00000000" w:rsidR="00000000" w:rsidRPr="00000000">
        <w:rPr>
          <w:b w:val="1"/>
          <w:bCs w:val="1"/>
          <w:rtl w:val="0"/>
        </w:rPr>
        <w:t xml:space="preserve">Herausforderungen</w:t>
        <w:br w:type="textWrapping"/>
      </w:r>
      <w:r w:rsidDel="00000000" w:rsidR="00000000" w:rsidRPr="00000000">
        <w:rPr>
          <w:rtl w:val="0"/>
        </w:rPr>
        <w:t xml:space="preserve">Die größte Herausforderung war der Umgang mit den Ausreißern in der Spalte </w:t>
      </w:r>
      <w:r w:rsidDel="00000000" w:rsidR="00000000" w:rsidRPr="00000000">
        <w:rPr>
          <w:rFonts w:ascii="Roboto Mono" w:cs="Roboto Mono" w:eastAsia="Roboto Mono" w:hAnsi="Roboto Mono"/>
          <w:b w:val="1"/>
          <w:bCs w:val="1"/>
          <w:color w:val="188038"/>
          <w:rtl w:val="0"/>
        </w:rPr>
        <w:t xml:space="preserve">verbrauch_kwh</w:t>
      </w:r>
      <w:r w:rsidDel="00000000" w:rsidR="00000000" w:rsidRPr="00000000">
        <w:rPr>
          <w:rtl w:val="0"/>
        </w:rPr>
        <w:t xml:space="preserve">. Es musste entschieden werden, ob es sich um reale hohe Verbräuche oder um fehlerhafte bzw. physikalisch unplausible Werte handelt. Dafür wurden die auffälligen Werte einzeln geprüft und mit dem Vormonatsverbrauch sowie den Eigenschaften der jeweiligen Zähler verglichen. Anschließend wurden physikalisch unplausible Werte bereinigt, während plausible Verbrauchsspitzen beibehalten wurden. Diese Entscheidung war wichtig, um reale Verbrauchsmuster der Industrie nicht durch eine zu aggressive Bereinigung zu verlieren.</w:t>
      </w:r>
    </w:p>
    <w:p w:rsidR="00000000" w:rsidDel="00000000" w:rsidP="00000000" w:rsidRDefault="00000000" w:rsidRPr="00000000" w14:paraId="00000081">
      <w:pPr>
        <w:pStyle w:val="Heading3"/>
        <w:rPr/>
      </w:pPr>
      <w:r w:rsidDel="00000000" w:rsidR="00000000" w:rsidRPr="00000000">
        <w:rPr>
          <w:rtl w:val="0"/>
        </w:rPr>
        <w:t xml:space="preserve">3.3.2   Sprint 2 — </w:t>
      </w:r>
      <w:r w:rsidDel="00000000" w:rsidR="00000000" w:rsidRPr="00000000">
        <w:rPr>
          <w:rtl w:val="0"/>
        </w:rPr>
        <w:t xml:space="preserve">EDA</w:t>
      </w:r>
      <w:r w:rsidDel="00000000" w:rsidR="00000000" w:rsidRPr="00000000">
        <w:rPr>
          <w:rtl w:val="0"/>
        </w:rPr>
        <w:t xml:space="preserve"> und Canvas</w:t>
      </w:r>
    </w:p>
    <w:p w:rsidR="00000000" w:rsidDel="00000000" w:rsidP="00000000" w:rsidRDefault="00000000" w:rsidRPr="00000000" w14:paraId="00000082">
      <w:pPr>
        <w:rPr/>
      </w:pPr>
      <w:r w:rsidDel="00000000" w:rsidR="00000000" w:rsidRPr="00000000">
        <w:rPr>
          <w:rFonts w:ascii="Arial" w:cs="Arial" w:eastAsia="Arial" w:hAnsi="Arial"/>
          <w:rtl w:val="0"/>
        </w:rPr>
        <w:t xml:space="preserve">[Sprint-Ziel, Aufgaben, Ergebnisse, Herausforderungen]</w:t>
      </w:r>
      <w:r w:rsidDel="00000000" w:rsidR="00000000" w:rsidRPr="00000000">
        <w:rPr>
          <w:rtl w:val="0"/>
        </w:rPr>
      </w:r>
    </w:p>
    <w:p w:rsidR="00000000" w:rsidDel="00000000" w:rsidP="00000000" w:rsidRDefault="00000000" w:rsidRPr="00000000" w14:paraId="00000083">
      <w:pPr>
        <w:pStyle w:val="Heading3"/>
        <w:rPr/>
      </w:pPr>
      <w:r>
        <w:t>3.3.3   Sprint 3 — Modellierung und Evaluierung</w:t>
      </w:r>
    </w:p>
    <w:p>
      <w:pPr>
        <w:jc w:val="left"/>
      </w:pPr>
      <w:r>
        <w:rPr>
          <w:b/>
        </w:rPr>
        <w:t xml:space="preserve">Sprint-Ziel. </w:t>
      </w:r>
      <w:r>
        <w:t>Ziel des dritten Sprints war eine reproduzierbare Modellierung, die zukünftige Monate ausschließlich aus zuvor verfügbaren Informationen prognostiziert. Zusätzlich sollte eine transparente Regel große Prognoseabweichungen in fachlich prüfbare Hinweise übersetzen.</w:t>
      </w:r>
    </w:p>
    <w:p>
      <w:pPr>
        <w:jc w:val="left"/>
      </w:pPr>
      <w:r>
        <w:rPr>
          <w:b/>
        </w:rPr>
        <w:t xml:space="preserve">Aufgaben. </w:t>
      </w:r>
      <w:r>
        <w:t>Der ML-Layer umfasste:</w:t>
      </w:r>
    </w:p>
    <w:p>
      <w:pPr>
        <w:pStyle w:val="ListBullet"/>
        <w:ind w:left="369" w:hanging="198"/>
        <w:jc w:val="left"/>
      </w:pPr>
      <w:r>
        <w:t>Vollaststunden als interne Zielvariable bilden und Prognosen wieder in kWh zurückrechnen</w:t>
      </w:r>
    </w:p>
    <w:p>
      <w:pPr>
        <w:pStyle w:val="ListBullet"/>
        <w:ind w:left="369" w:hanging="198"/>
        <w:jc w:val="left"/>
      </w:pPr>
      <w:r>
        <w:t>Historienmerkmale je Zähler ohne Nutzung des aktuellen oder eines zukünftigen Monats rekonstruieren</w:t>
      </w:r>
    </w:p>
    <w:p>
      <w:pPr>
        <w:pStyle w:val="ListBullet"/>
        <w:ind w:left="369" w:hanging="198"/>
        <w:jc w:val="left"/>
      </w:pPr>
      <w:r>
        <w:t>Vormonat und Mittel aus bis zu drei Vormonaten als Baselines definieren</w:t>
      </w:r>
    </w:p>
    <w:p>
      <w:pPr>
        <w:pStyle w:val="ListBullet"/>
        <w:ind w:left="369" w:hanging="198"/>
        <w:jc w:val="left"/>
      </w:pPr>
      <w:r>
        <w:t>lineare Regression und Random Forest in drei zeitlichen Folds vergleichen</w:t>
      </w:r>
    </w:p>
    <w:p>
      <w:pPr>
        <w:pStyle w:val="ListBullet"/>
        <w:ind w:left="369" w:hanging="198"/>
        <w:jc w:val="left"/>
      </w:pPr>
      <w:r>
        <w:t>acht kontrollierte Random-Forest-Konfigurationen ausschließlich anhand der 2024-Folds bewerten</w:t>
      </w:r>
    </w:p>
    <w:p>
      <w:pPr>
        <w:pStyle w:val="ListBullet"/>
        <w:ind w:left="369" w:hanging="198"/>
        <w:jc w:val="left"/>
      </w:pPr>
      <w:r>
        <w:t>die Prüfhinweisschwelle aus November und Dezember 2024 kalibrieren und die Ergebnisse an das Dashboard übergeben</w:t>
      </w:r>
    </w:p>
    <w:p>
      <w:pPr>
        <w:jc w:val="left"/>
      </w:pPr>
      <w:r>
        <w:rPr>
          <w:b/>
        </w:rPr>
        <w:t xml:space="preserve">Ergebnisse. </w:t>
      </w:r>
      <w:r>
        <w:t>Der Random Forest erreichte mit 13.272 kWh den niedrigsten mittleren RMSE der drei zeitlichen Prüfungen. Die gewählte Konfiguration verwendet 300 Bäume, eine maximale Tiefe von 8, mindestens 5 Fälle pro Blatt und 70 Prozent der Merkmale je Aufteilung. Im retrospektiven Benchmark 2025 erreichte das Modell 9.188 kWh RMSE und 3.725 kWh MAE. Gegenüber dem Mittel aus bis zu drei Vormonaten verringerte sich der RMSE um 15,9 Prozent.</w:t>
      </w:r>
    </w:p>
    <w:p>
      <w:pPr>
        <w:jc w:val="left"/>
      </w:pPr>
      <w:r>
        <w:rPr>
          <w:b/>
        </w:rPr>
        <w:t xml:space="preserve">Herausforderungen. </w:t>
      </w:r>
      <w:r>
        <w:t>Die Historie durfte keine Werte aus dem vorherzusagenden oder einem späteren Monat enthalten. Sie wurde deshalb je Zähler mit einer zeitlichen Verschiebung neu aufgebaut. Dadurch konnten 1.453 zuvor fehlende Historienwerte genutzt werden, ohne Zukunftswerte einzubauen. Die verbleibenden 700 fehlenden Werte entsprechen dem ersten Monat jedes Zählers und wurden erst innerhalb des jeweiligen Trainingsfensters imputiert.</w:t>
      </w:r>
    </w:p>
    <w:p w:rsidR="00000000" w:rsidDel="00000000" w:rsidP="00000000" w:rsidRDefault="00000000" w:rsidRPr="00000000" w14:paraId="00000085">
      <w:pPr>
        <w:pStyle w:val="Heading3"/>
        <w:rPr/>
      </w:pPr>
      <w:r w:rsidDel="00000000" w:rsidR="00000000" w:rsidRPr="00000000">
        <w:rPr>
          <w:rtl w:val="0"/>
        </w:rPr>
        <w:t xml:space="preserve">3.3.4   Finalisierungsphase</w:t>
      </w:r>
    </w:p>
    <w:p w:rsidR="00000000" w:rsidDel="00000000" w:rsidP="00000000" w:rsidRDefault="00000000" w:rsidRPr="00000000" w14:paraId="00000086">
      <w:pPr>
        <w:rPr/>
      </w:pPr>
      <w:r w:rsidDel="00000000" w:rsidR="00000000" w:rsidRPr="00000000">
        <w:rPr>
          <w:rFonts w:ascii="Arial" w:cs="Arial" w:eastAsia="Arial" w:hAnsi="Arial"/>
          <w:rtl w:val="0"/>
        </w:rPr>
        <w:t xml:space="preserve">[Polishing-Aufgaben, Live-Demo-Übung, Mock-Prüfung, individuelle Vorbereitung]</w:t>
      </w:r>
      <w:r w:rsidDel="00000000" w:rsidR="00000000" w:rsidRPr="00000000">
        <w:rPr>
          <w:rtl w:val="0"/>
        </w:rPr>
      </w:r>
    </w:p>
    <w:p w:rsidR="00000000" w:rsidDel="00000000" w:rsidP="00000000" w:rsidRDefault="00000000" w:rsidRPr="00000000" w14:paraId="00000087">
      <w:pPr>
        <w:pStyle w:val="Heading2"/>
        <w:rPr/>
      </w:pPr>
      <w:r w:rsidDel="00000000" w:rsidR="00000000" w:rsidRPr="00000000">
        <w:rPr>
          <w:rtl w:val="0"/>
        </w:rPr>
        <w:t xml:space="preserve">3.4   User Stories</w:t>
      </w:r>
    </w:p>
    <w:p w:rsidR="00000000" w:rsidDel="00000000" w:rsidP="00000000" w:rsidRDefault="00000000" w:rsidRPr="00000000" w14:paraId="00000088">
      <w:pPr>
        <w:numPr>
          <w:ilvl w:val="0"/>
          <w:numId w:val="2"/>
        </w:numPr>
        <w:spacing w:after="0" w:afterAutospacing="0" w:before="240" w:lineRule="auto"/>
        <w:ind w:left="720" w:hanging="360"/>
      </w:pPr>
      <w:r w:rsidDel="00000000" w:rsidR="00000000" w:rsidRPr="00000000">
        <w:rPr>
          <w:b w:val="1"/>
          <w:bCs w:val="1"/>
          <w:rtl w:val="0"/>
        </w:rPr>
        <w:t xml:space="preserve">Stefan Lechtenberg – Bereichsleiter Energiebeschaffung (Sponsor)</w:t>
        <w:br w:type="textWrapping"/>
      </w:r>
      <w:r w:rsidDel="00000000" w:rsidR="00000000" w:rsidRPr="00000000">
        <w:rPr>
          <w:rtl w:val="0"/>
        </w:rPr>
        <w:t xml:space="preserve">Als Bereichsleiter Energiebeschaffung möchte ich eine möglichst genaue Verbrauchsprognose für den Folgemonat erhalten, damit ich die Energiebeschaffung besser planen und unnötige Beschaffungskosten vermeiden kann.</w:t>
      </w:r>
    </w:p>
    <w:p w:rsidR="00000000" w:rsidDel="00000000" w:rsidP="00000000" w:rsidRDefault="00000000" w:rsidRPr="00000000" w14:paraId="00000089">
      <w:pPr>
        <w:numPr>
          <w:ilvl w:val="0"/>
          <w:numId w:val="2"/>
        </w:numPr>
        <w:spacing w:after="0" w:afterAutospacing="0" w:before="0" w:beforeAutospacing="0" w:lineRule="auto"/>
        <w:ind w:left="720" w:hanging="360"/>
      </w:pPr>
      <w:r w:rsidDel="00000000" w:rsidR="00000000" w:rsidRPr="00000000">
        <w:rPr>
          <w:b w:val="1"/>
          <w:bCs w:val="1"/>
          <w:rtl w:val="0"/>
        </w:rPr>
        <w:t xml:space="preserve">Anke Bürger – Leiterin Netzmanagement</w:t>
        <w:br w:type="textWrapping"/>
      </w:r>
      <w:r w:rsidDel="00000000" w:rsidR="00000000" w:rsidRPr="00000000">
        <w:rPr>
          <w:rtl w:val="0"/>
        </w:rPr>
        <w:t>Als Leiterin Netzmanagement möchte ich monatliche Prüfhinweise pro Zähler erhalten, damit ich technische Probleme schneller überprüfen und notwendige Wartungsmaßnahmen einleiten kann.</w:t>
      </w:r>
    </w:p>
    <w:p w:rsidR="00000000" w:rsidDel="00000000" w:rsidP="00000000" w:rsidRDefault="00000000" w:rsidRPr="00000000" w14:paraId="0000008A">
      <w:pPr>
        <w:numPr>
          <w:ilvl w:val="0"/>
          <w:numId w:val="2"/>
        </w:numPr>
        <w:spacing w:after="240" w:before="0" w:beforeAutospacing="0" w:lineRule="auto"/>
        <w:ind w:left="720" w:hanging="360"/>
      </w:pPr>
      <w:r w:rsidDel="00000000" w:rsidR="00000000" w:rsidRPr="00000000">
        <w:rPr>
          <w:b w:val="1"/>
          <w:bCs w:val="1"/>
          <w:rtl w:val="0"/>
        </w:rPr>
        <w:t xml:space="preserve">Henrik Maaß – Senior-Datenanalyst</w:t>
        <w:br w:type="textWrapping"/>
      </w:r>
      <w:r w:rsidDel="00000000" w:rsidR="00000000" w:rsidRPr="00000000">
        <w:rPr>
          <w:rtl w:val="0"/>
        </w:rPr>
        <w:t>Als Senior-Datenanalyst möchte ich eine reproduzierbare Daten- und ML-Pipeline mit einer nachvollziehbaren Prüfhinweisregel entwickeln, damit die Ergebnisse zuverlässig überprüft und bei Bedarf erneut ausgeführt werden können.</w:t>
      </w:r>
    </w:p>
    <w:p w:rsidR="00000000" w:rsidDel="00000000" w:rsidP="00000000" w:rsidRDefault="00000000" w:rsidRPr="00000000" w14:paraId="0000008B">
      <w:pPr>
        <w:pStyle w:val="Heading2"/>
        <w:rPr/>
      </w:pPr>
      <w:r w:rsidDel="00000000" w:rsidR="00000000" w:rsidRPr="00000000">
        <w:rPr>
          <w:rtl w:val="0"/>
        </w:rPr>
        <w:t xml:space="preserve">3.5   Meilensteine und Retrospektiven</w:t>
      </w:r>
    </w:p>
    <w:p w:rsidR="00000000" w:rsidDel="00000000" w:rsidP="00000000" w:rsidRDefault="00000000" w:rsidRPr="00000000" w14:paraId="0000008C">
      <w:pPr>
        <w:rPr/>
      </w:pPr>
      <w:r w:rsidDel="00000000" w:rsidR="00000000" w:rsidRPr="00000000">
        <w:rPr>
          <w:rFonts w:ascii="Arial" w:cs="Arial" w:eastAsia="Arial" w:hAnsi="Arial"/>
          <w:rtl w:val="0"/>
        </w:rPr>
        <w:t xml:space="preserve">[Beispielsatz: Wichtige Meilensteine waren der Abschluss der Datenbereinigung (Ende Sprint 2), das erste evaluierbare Modell (Mitte Sprint 3) und die Berichts-Abgabe. Die Retrospektive nach Sprint 1 ergab: &lt;…&gt;; Anpassung für Sprint 2: &lt;…&gt;.]</w:t>
      </w:r>
      <w:r w:rsidDel="00000000" w:rsidR="00000000" w:rsidRPr="00000000">
        <w:rPr>
          <w:rtl w:val="0"/>
        </w:rPr>
      </w:r>
    </w:p>
    <w:p w:rsidR="00000000" w:rsidDel="00000000" w:rsidP="00000000" w:rsidRDefault="00000000" w:rsidRPr="00000000" w14:paraId="0000008D">
      <w:pPr>
        <w:pStyle w:val="Heading2"/>
        <w:rPr/>
      </w:pPr>
      <w:r w:rsidDel="00000000" w:rsidR="00000000" w:rsidRPr="00000000">
        <w:rPr>
          <w:rtl w:val="0"/>
        </w:rPr>
        <w:t xml:space="preserve">3.6   Persönliches Fazit zu den Lernerfahrungen</w:t>
      </w:r>
    </w:p>
    <w:p w:rsidR="00000000" w:rsidDel="00000000" w:rsidP="00000000" w:rsidRDefault="00000000" w:rsidRPr="00000000" w14:paraId="0000008E">
      <w:pPr>
        <w:rPr/>
      </w:pPr>
      <w:r w:rsidDel="00000000" w:rsidR="00000000" w:rsidRPr="00000000">
        <w:rPr>
          <w:rFonts w:ascii="Arial" w:cs="Arial" w:eastAsia="Arial" w:hAnsi="Arial"/>
          <w:rtl w:val="0"/>
        </w:rPr>
        <w:t xml:space="preserve">[Beispielsatz: Im Verlauf des Projekts hat die Gruppe gelernt, … . Besonders herausfordernd war … . Wertvoll war die Erfahrung, dass … .]</w:t>
      </w:r>
      <w:r w:rsidDel="00000000" w:rsidR="00000000" w:rsidRPr="00000000">
        <w:rPr>
          <w:rtl w:val="0"/>
        </w:rPr>
      </w:r>
    </w:p>
    <w:p w:rsidR="00000000" w:rsidDel="00000000" w:rsidP="00000000" w:rsidRDefault="00000000" w:rsidRPr="00000000" w14:paraId="0000008F">
      <w:pPr>
        <w:pStyle w:val="Heading2"/>
        <w:rPr>
          <w:sz w:val="26"/>
          <w:szCs w:val="26"/>
        </w:rPr>
      </w:pPr>
      <w:r w:rsidDel="00000000" w:rsidR="00000000" w:rsidRPr="00000000">
        <w:rPr>
          <w:rtl w:val="0"/>
        </w:rPr>
        <w:t xml:space="preserve">3.7   Ausblick</w:t>
      </w:r>
      <w:r w:rsidDel="00000000" w:rsidR="00000000" w:rsidRPr="00000000">
        <w:rPr>
          <w:rtl w:val="0"/>
        </w:rPr>
      </w:r>
    </w:p>
    <w:p w:rsidR="00000000" w:rsidDel="00000000" w:rsidP="00000000" w:rsidRDefault="00000000" w:rsidRPr="00000000" w14:paraId="00000090">
      <w:pPr>
        <w:spacing w:after="240" w:before="240" w:lineRule="auto"/>
        <w:rPr/>
      </w:pPr>
      <w:r w:rsidDel="00000000" w:rsidR="00000000" w:rsidRPr="00000000">
        <w:rPr>
          <w:rtl w:val="0"/>
        </w:rPr>
        <w:t xml:space="preserve">Für die </w:t>
      </w:r>
      <w:r w:rsidDel="00000000" w:rsidR="00000000" w:rsidRPr="00000000">
        <w:rPr>
          <w:b w:val="1"/>
          <w:bCs w:val="1"/>
          <w:rtl w:val="0"/>
        </w:rPr>
        <w:t xml:space="preserve">StadtWerke Westhafen GmbH</w:t>
      </w:r>
      <w:r w:rsidDel="00000000" w:rsidR="00000000" w:rsidRPr="00000000">
        <w:rPr>
          <w:rtl w:val="0"/>
        </w:rPr>
        <w:t xml:space="preserve"> empfiehlt sich eine schrittweise Einführung des entwickelten Prognose- und Prüfhinweissystems. Zunächst sollte ein </w:t>
      </w:r>
      <w:r w:rsidDel="00000000" w:rsidR="00000000" w:rsidRPr="00000000">
        <w:rPr>
          <w:b w:val="1"/>
          <w:bCs w:val="1"/>
          <w:rtl w:val="0"/>
        </w:rPr>
        <w:t xml:space="preserve">Pilotbetrieb mit einer ausgewählten Gruppe von Zählern</w:t>
      </w:r>
      <w:r w:rsidDel="00000000" w:rsidR="00000000" w:rsidRPr="00000000">
        <w:rPr>
          <w:rtl w:val="0"/>
        </w:rPr>
        <w:t xml:space="preserve"> durchgeführt werden, bei dem die ML-Prognosen parallel zur bisherigen Beschaffungsplanung laufen. Dabei sollten Prognosegüte, Qualität der Prüfhinweise und Datenqualität systematisch evaluiert werden.</w:t>
      </w:r>
    </w:p>
    <w:p w:rsidR="00000000" w:rsidDel="00000000" w:rsidP="00000000" w:rsidRDefault="00000000" w:rsidRPr="00000000" w14:paraId="00000091">
      <w:pPr>
        <w:spacing w:after="240" w:before="240" w:lineRule="auto"/>
        <w:rPr/>
      </w:pPr>
      <w:r w:rsidDel="00000000" w:rsidR="00000000" w:rsidRPr="00000000">
        <w:rPr>
          <w:rtl w:val="0"/>
        </w:rPr>
        <w:t xml:space="preserve">Nach erfolgreicher Validierung können die Prognosen in den </w:t>
      </w:r>
      <w:r w:rsidDel="00000000" w:rsidR="00000000" w:rsidRPr="00000000">
        <w:rPr>
          <w:b w:val="1"/>
          <w:bCs w:val="1"/>
          <w:rtl w:val="0"/>
        </w:rPr>
        <w:t xml:space="preserve">Beschaffungsprozess</w:t>
      </w:r>
      <w:r w:rsidDel="00000000" w:rsidR="00000000" w:rsidRPr="00000000">
        <w:rPr>
          <w:rtl w:val="0"/>
        </w:rPr>
        <w:t xml:space="preserve"> und die Prüfhinweise in das </w:t>
      </w:r>
      <w:r w:rsidDel="00000000" w:rsidR="00000000" w:rsidRPr="00000000">
        <w:rPr>
          <w:b w:val="1"/>
          <w:bCs w:val="1"/>
          <w:rtl w:val="0"/>
        </w:rPr>
        <w:t xml:space="preserve">Netzmanagement</w:t>
      </w:r>
      <w:r w:rsidDel="00000000" w:rsidR="00000000" w:rsidRPr="00000000">
        <w:rPr>
          <w:rtl w:val="0"/>
        </w:rPr>
        <w:t xml:space="preserve"> integriert werden. Mittelfristig empfiehlt sich eine Erweiterung um zusätzliche Wetter-, Betriebs- und Produktionsdaten sowie eine </w:t>
      </w:r>
      <w:r w:rsidDel="00000000" w:rsidR="00000000" w:rsidRPr="00000000">
        <w:rPr>
          <w:b w:val="1"/>
          <w:bCs w:val="1"/>
          <w:rtl w:val="0"/>
        </w:rPr>
        <w:t xml:space="preserve">regelmäßige Aktualisierung und Überwachung des Modells</w:t>
      </w:r>
      <w:r w:rsidDel="00000000" w:rsidR="00000000" w:rsidRPr="00000000">
        <w:rPr>
          <w:rtl w:val="0"/>
        </w:rPr>
        <w:t xml:space="preserve">. Bei stabiler Modellqualität kann die Lösung schrittweise auf weitere Zähler und Kunden ausgeweitet werden.</w:t>
      </w:r>
    </w:p>
    <w:p w:rsidR="00000000" w:rsidDel="00000000" w:rsidP="00000000" w:rsidRDefault="00000000" w:rsidRPr="00000000" w14:paraId="00000092">
      <w:pPr>
        <w:pStyle w:val="Heading1"/>
        <w:rPr/>
      </w:pPr>
      <w:r w:rsidDel="00000000" w:rsidR="00000000" w:rsidRPr="00000000">
        <w:rPr>
          <w:rtl w:val="0"/>
        </w:rPr>
        <w:t xml:space="preserve">4   Workflow, Datenmodell und Ergebnisse</w:t>
      </w:r>
    </w:p>
    <w:p w:rsidR="00000000" w:rsidDel="00000000" w:rsidP="00000000" w:rsidRDefault="00000000" w:rsidRPr="00000000" w14:paraId="00000094">
      <w:pPr>
        <w:pStyle w:val="Heading2"/>
        <w:rPr/>
      </w:pPr>
      <w:r w:rsidDel="00000000" w:rsidR="00000000" w:rsidRPr="00000000">
        <w:rPr>
          <w:rtl w:val="0"/>
        </w:rPr>
        <w:t xml:space="preserve">4.1   Workflow-Dokumentation</w:t>
      </w:r>
    </w:p>
    <w:p w:rsidR="00000000" w:rsidDel="00000000" w:rsidP="00000000" w:rsidRDefault="00000000" w:rsidRPr="00000000" w14:paraId="00000095">
      <w:pPr>
        <w:jc w:val="left"/>
        <w:rPr/>
      </w:pPr>
      <w:r>
        <w:t>Der Workflow folgt sieben nachvollziehbaren Schritten: Quelle, Import, Bereinigung, Transformation, Modellierung, Visualisierung und Ergebnisübergabe. Die folgenden Abschnitte dokumentieren pro Schritt nicht nur die technische Ausführung, sondern auch die fachliche Entscheidung und ihre Begründung.</w:t>
      </w:r>
    </w:p>
    <w:p w:rsidR="00000000" w:rsidDel="00000000" w:rsidP="00000000" w:rsidRDefault="00000000" w:rsidRPr="00000000" w14:paraId="00000096">
      <w:pPr>
        <w:pStyle w:val="Heading3"/>
        <w:keepNext w:val="0"/>
        <w:keepLines w:val="0"/>
        <w:spacing w:after="40" w:before="240" w:lineRule="auto"/>
        <w:rPr>
          <w:rFonts w:ascii="Arial" w:cs="Arial" w:eastAsia="Arial" w:hAnsi="Arial"/>
          <w:i w:val="0"/>
          <w:iCs w:val="0"/>
          <w:color w:val="000000"/>
          <w:sz w:val="22"/>
          <w:szCs w:val="22"/>
        </w:rPr>
      </w:pPr>
      <w:r>
        <w:t>4.1.1   Quelle</w:t>
      </w:r>
    </w:p>
    <w:p w:rsidR="00000000" w:rsidDel="00000000" w:rsidP="00000000" w:rsidRDefault="00000000" w:rsidRPr="00000000" w14:paraId="00000097">
      <w:pPr>
        <w:spacing w:after="240" w:before="240" w:lineRule="auto"/>
        <w:jc w:val="left"/>
        <w:rPr/>
      </w:pPr>
      <w:r>
        <w:t>Als Rohquelle wurde die Datei data/raw/verbrauch.csv verwendet. Sie enthielt 16.830 monatliche Beobachtungen von 700 Zählern für Januar 2024 bis Dezember 2025. Nach der Bereinigung von 30 doppelten Zähler-Monat-Kombinationen umfasst die Modellierungsbasis 16.800 Zeilen. Für den ML-Layer wurde daraus die reproduzierbare Datei data/processed/modellierung_basis_bis_3_monate.csv abgeleitet.</w:t>
      </w:r>
    </w:p>
    <w:p w:rsidR="00000000" w:rsidDel="00000000" w:rsidP="00000000" w:rsidRDefault="00000000" w:rsidRPr="00000000" w14:paraId="00000098">
      <w:pPr>
        <w:spacing w:after="240" w:before="240" w:lineRule="auto"/>
        <w:rPr/>
      </w:pPr>
      <w:r w:rsidDel="00000000" w:rsidR="00000000" w:rsidRPr="00000000">
        <w:rPr>
          <w:rtl w:val="0"/>
        </w:rPr>
        <w:t xml:space="preserve">Die Datei wurde im Rahmen des Projekts bereitgestellt. Als Zeichenkodierung wird </w:t>
      </w:r>
      <w:r w:rsidDel="00000000" w:rsidR="00000000" w:rsidRPr="00000000">
        <w:rPr>
          <w:b w:val="1"/>
          <w:bCs w:val="1"/>
          <w:rtl w:val="0"/>
        </w:rPr>
        <w:t xml:space="preserve">UTF-8 mit BOM</w:t>
      </w:r>
      <w:r w:rsidDel="00000000" w:rsidR="00000000" w:rsidRPr="00000000">
        <w:rPr>
          <w:rtl w:val="0"/>
        </w:rPr>
        <w:t xml:space="preserve"> verwendet. Eine separate Lizenzangabe war in den bereitgestellten Daten nicht enthalten.</w:t>
      </w:r>
    </w:p>
    <w:p w:rsidR="00000000" w:rsidDel="00000000" w:rsidP="00000000" w:rsidRDefault="00000000" w:rsidRPr="00000000" w14:paraId="00000099">
      <w:pPr>
        <w:pStyle w:val="Heading3"/>
        <w:keepNext w:val="0"/>
        <w:keepLines w:val="0"/>
        <w:spacing w:after="40" w:before="240" w:lineRule="auto"/>
        <w:rPr>
          <w:rFonts w:ascii="Arial" w:cs="Arial" w:eastAsia="Arial" w:hAnsi="Arial"/>
          <w:i w:val="0"/>
          <w:iCs w:val="0"/>
          <w:color w:val="000000"/>
          <w:sz w:val="22"/>
          <w:szCs w:val="22"/>
        </w:rPr>
      </w:pPr>
      <w:r>
        <w:t>4.1.2   Import</w:t>
      </w:r>
    </w:p>
    <w:p w:rsidR="00000000" w:rsidDel="00000000" w:rsidP="00000000" w:rsidRDefault="00000000" w:rsidRPr="00000000" w14:paraId="0000009A">
      <w:pPr>
        <w:spacing w:after="240" w:before="240" w:lineRule="auto"/>
        <w:rPr/>
      </w:pPr>
      <w:r w:rsidDel="00000000" w:rsidR="00000000" w:rsidRPr="00000000">
        <w:rPr>
          <w:rtl w:val="0"/>
        </w:rPr>
        <w:t xml:space="preserve">Die CSV-Datei wurde in die Python-Umgebung importiert und zunächst hinsichtlich Struktur, Datentypen, Spaltennamen und Anzahl der Datensätze geprüft. Dabei wurde insbesondere kontrolliert, ob die erwarteten </w:t>
      </w:r>
      <w:r w:rsidDel="00000000" w:rsidR="00000000" w:rsidRPr="00000000">
        <w:rPr>
          <w:b w:val="1"/>
          <w:bCs w:val="1"/>
          <w:rtl w:val="0"/>
        </w:rPr>
        <w:t xml:space="preserve">700 Zähler und 24 Monate </w:t>
      </w:r>
      <w:r w:rsidDel="00000000" w:rsidR="00000000" w:rsidRPr="00000000">
        <w:rPr>
          <w:rtl w:val="0"/>
        </w:rPr>
        <w:t xml:space="preserve">vorhanden sind und ob die Monatsangaben den vorgesehenen Zeitraum abdecken.</w:t>
      </w:r>
    </w:p>
    <w:p w:rsidR="00000000" w:rsidDel="00000000" w:rsidP="00000000" w:rsidRDefault="00000000" w:rsidRPr="00000000" w14:paraId="0000009B">
      <w:pPr>
        <w:spacing w:after="240" w:before="240" w:lineRule="auto"/>
        <w:rPr/>
      </w:pPr>
      <w:r w:rsidDel="00000000" w:rsidR="00000000" w:rsidRPr="00000000">
        <w:rPr>
          <w:rtl w:val="0"/>
        </w:rPr>
      </w:r>
    </w:p>
    <w:p w:rsidR="00000000" w:rsidDel="00000000" w:rsidP="00000000" w:rsidRDefault="00000000" w:rsidRPr="00000000" w14:paraId="0000009C">
      <w:pPr>
        <w:pStyle w:val="Heading3"/>
        <w:keepNext w:val="0"/>
        <w:keepLines w:val="0"/>
        <w:spacing w:after="40" w:before="240" w:lineRule="auto"/>
        <w:rPr>
          <w:rFonts w:ascii="Arial" w:cs="Arial" w:eastAsia="Arial" w:hAnsi="Arial"/>
          <w:i w:val="0"/>
          <w:iCs w:val="0"/>
          <w:color w:val="000000"/>
          <w:sz w:val="22"/>
          <w:szCs w:val="22"/>
        </w:rPr>
      </w:pPr>
      <w:r>
        <w:t>4.1.3   Bereinigung</w:t>
      </w:r>
    </w:p>
    <w:p w:rsidR="00000000" w:rsidDel="00000000" w:rsidP="00000000" w:rsidRDefault="00000000" w:rsidRPr="00000000" w14:paraId="0000009D">
      <w:pPr>
        <w:spacing w:after="240" w:before="240" w:lineRule="auto"/>
        <w:rPr/>
      </w:pPr>
      <w:r w:rsidDel="00000000" w:rsidR="00000000" w:rsidRPr="00000000">
        <w:rPr>
          <w:rtl w:val="0"/>
        </w:rPr>
        <w:t xml:space="preserve">Im Rahmen der Datenqualitätsprüfung wurden verschiedene Inkonsistenzen festgestellt und schrittweise bereinigt. Die Werte in </w:t>
      </w:r>
      <w:r w:rsidDel="00000000" w:rsidR="00000000" w:rsidRPr="00000000">
        <w:rPr>
          <w:rFonts w:ascii="Roboto Mono" w:cs="Roboto Mono" w:eastAsia="Roboto Mono" w:hAnsi="Roboto Mono"/>
          <w:color w:val="188038"/>
          <w:rtl w:val="0"/>
        </w:rPr>
        <w:t xml:space="preserve">kundentyp</w:t>
      </w:r>
      <w:r w:rsidDel="00000000" w:rsidR="00000000" w:rsidRPr="00000000">
        <w:rPr>
          <w:rtl w:val="0"/>
        </w:rPr>
        <w:t xml:space="preserve"> wurden vereinheitlicht und unterschiedliche Datumsformate in </w:t>
      </w:r>
      <w:r w:rsidDel="00000000" w:rsidR="00000000" w:rsidRPr="00000000">
        <w:rPr>
          <w:rFonts w:ascii="Roboto Mono" w:cs="Roboto Mono" w:eastAsia="Roboto Mono" w:hAnsi="Roboto Mono"/>
          <w:color w:val="188038"/>
          <w:rtl w:val="0"/>
        </w:rPr>
        <w:t xml:space="preserve">monat</w:t>
      </w:r>
      <w:r w:rsidDel="00000000" w:rsidR="00000000" w:rsidRPr="00000000">
        <w:rPr>
          <w:rtl w:val="0"/>
        </w:rPr>
        <w:t xml:space="preserve"> standardisiert. Insgesamt wurden </w:t>
      </w:r>
      <w:r w:rsidDel="00000000" w:rsidR="00000000" w:rsidRPr="00000000">
        <w:rPr>
          <w:b w:val="1"/>
          <w:bCs w:val="1"/>
          <w:rtl w:val="0"/>
        </w:rPr>
        <w:t xml:space="preserve">30 Duplikate</w:t>
      </w:r>
      <w:r w:rsidDel="00000000" w:rsidR="00000000" w:rsidRPr="00000000">
        <w:rPr>
          <w:rtl w:val="0"/>
        </w:rPr>
        <w:t xml:space="preserve"> bzw. doppelte Zähler-Monat-Kombinationen entfernt. Außerdem wurden </w:t>
      </w:r>
      <w:r w:rsidDel="00000000" w:rsidR="00000000" w:rsidRPr="00000000">
        <w:rPr>
          <w:b w:val="1"/>
          <w:bCs w:val="1"/>
          <w:rtl w:val="0"/>
        </w:rPr>
        <w:t xml:space="preserve">672 Verbrauchswerte</w:t>
      </w:r>
      <w:r w:rsidDel="00000000" w:rsidR="00000000" w:rsidRPr="00000000">
        <w:rPr>
          <w:rtl w:val="0"/>
        </w:rPr>
        <w:t xml:space="preserve">, die in MWh vorlagen, in kWh umgerechnet.</w:t>
      </w:r>
    </w:p>
    <w:p w:rsidR="00000000" w:rsidDel="00000000" w:rsidP="00000000" w:rsidRDefault="00000000" w:rsidRPr="00000000" w14:paraId="0000009E">
      <w:pPr>
        <w:spacing w:after="240" w:before="240" w:lineRule="auto"/>
        <w:rPr/>
      </w:pPr>
      <w:r w:rsidDel="00000000" w:rsidR="00000000" w:rsidRPr="00000000">
        <w:rPr>
          <w:rtl w:val="0"/>
        </w:rPr>
        <w:t xml:space="preserve">Fehlende Werte wurden hinsichtlich ihrer Ursache bewertet und nicht pauschal ersetzt. Die fehlenden Werte in </w:t>
      </w:r>
      <w:r w:rsidDel="00000000" w:rsidR="00000000" w:rsidRPr="00000000">
        <w:rPr>
          <w:rFonts w:ascii="Roboto Mono" w:cs="Roboto Mono" w:eastAsia="Roboto Mono" w:hAnsi="Roboto Mono"/>
          <w:color w:val="188038"/>
          <w:rtl w:val="0"/>
        </w:rPr>
        <w:t xml:space="preserve">vorjahr_monat_verbrauch_kwh</w:t>
      </w:r>
      <w:r w:rsidDel="00000000" w:rsidR="00000000" w:rsidRPr="00000000">
        <w:rPr>
          <w:rtl w:val="0"/>
        </w:rPr>
        <w:t xml:space="preserve"> sind beispielsweise strukturell bedingt, da für 2024 keine Vorjahresdaten aus 2023 vorliegen. Ebenso fehlen die Vormonatswerte im Januar 2024 systembedingt. Bei </w:t>
      </w:r>
      <w:r w:rsidDel="00000000" w:rsidR="00000000" w:rsidRPr="00000000">
        <w:rPr>
          <w:rFonts w:ascii="Roboto Mono" w:cs="Roboto Mono" w:eastAsia="Roboto Mono" w:hAnsi="Roboto Mono"/>
          <w:color w:val="188038"/>
          <w:rtl w:val="0"/>
        </w:rPr>
        <w:t xml:space="preserve">mittlere_temperatur_c</w:t>
      </w:r>
      <w:r w:rsidDel="00000000" w:rsidR="00000000" w:rsidRPr="00000000">
        <w:rPr>
          <w:rtl w:val="0"/>
        </w:rPr>
        <w:t xml:space="preserve"> und </w:t>
      </w:r>
      <w:r w:rsidDel="00000000" w:rsidR="00000000" w:rsidRPr="00000000">
        <w:rPr>
          <w:rFonts w:ascii="Roboto Mono" w:cs="Roboto Mono" w:eastAsia="Roboto Mono" w:hAnsi="Roboto Mono"/>
          <w:color w:val="188038"/>
          <w:rtl w:val="0"/>
        </w:rPr>
        <w:t xml:space="preserve">produktionsplan_index</w:t>
      </w:r>
      <w:r w:rsidDel="00000000" w:rsidR="00000000" w:rsidRPr="00000000">
        <w:rPr>
          <w:rtl w:val="0"/>
        </w:rPr>
        <w:t xml:space="preserve"> wurden die fehlenden Werte zunächst für die explorative Analyse beibehalten; eine mögliche Imputation erfolgt erst modellierungsbezogen und unter Berücksichtigung des zeitlichen Splits.</w:t>
      </w:r>
    </w:p>
    <w:p w:rsidR="00000000" w:rsidDel="00000000" w:rsidP="00000000" w:rsidRDefault="00000000" w:rsidRPr="00000000" w14:paraId="0000009F">
      <w:pPr>
        <w:spacing w:after="240" w:before="240" w:lineRule="auto"/>
        <w:rPr/>
      </w:pPr>
      <w:r w:rsidDel="00000000" w:rsidR="00000000" w:rsidRPr="00000000">
        <w:rPr>
          <w:rtl w:val="0"/>
        </w:rPr>
        <w:t xml:space="preserve">Zusätzlich wurden </w:t>
      </w:r>
      <w:r w:rsidDel="00000000" w:rsidR="00000000" w:rsidRPr="00000000">
        <w:rPr>
          <w:b w:val="1"/>
          <w:bCs w:val="1"/>
          <w:rtl w:val="0"/>
        </w:rPr>
        <w:t xml:space="preserve">Ausreißer in </w:t>
      </w:r>
      <w:r w:rsidDel="00000000" w:rsidR="00000000" w:rsidRPr="00000000">
        <w:rPr>
          <w:rFonts w:ascii="Roboto Mono" w:cs="Roboto Mono" w:eastAsia="Roboto Mono" w:hAnsi="Roboto Mono"/>
          <w:b w:val="1"/>
          <w:bCs w:val="1"/>
          <w:color w:val="188038"/>
          <w:rtl w:val="0"/>
        </w:rPr>
        <w:t xml:space="preserve">verbrauch_kwh</w:t>
      </w:r>
      <w:r w:rsidDel="00000000" w:rsidR="00000000" w:rsidRPr="00000000">
        <w:rPr>
          <w:rtl w:val="0"/>
        </w:rPr>
        <w:t xml:space="preserve"> geprüft. Dabei wurde zwischen realistischen hohen Verbräuchen und physikalisch unplausiblen Werten unterschieden. </w:t>
      </w:r>
    </w:p>
    <w:p w:rsidR="00000000" w:rsidDel="00000000" w:rsidP="00000000" w:rsidRDefault="00000000" w:rsidRPr="00000000" w14:paraId="000000A0">
      <w:pPr>
        <w:spacing w:after="240" w:before="240" w:lineRule="auto"/>
        <w:rPr/>
      </w:pPr>
      <w:r w:rsidDel="00000000" w:rsidR="00000000" w:rsidRPr="00000000">
        <w:rPr>
          <w:rtl w:val="0"/>
        </w:rPr>
        <w:t xml:space="preserve">Die bereinigten Daten bilden anschließend die Grundlage für die explorative Datenanalyse sowie die zeitbasierte Aufteilung in </w:t>
      </w:r>
      <w:r w:rsidDel="00000000" w:rsidR="00000000" w:rsidRPr="00000000">
        <w:rPr>
          <w:b w:val="1"/>
          <w:bCs w:val="1"/>
          <w:rtl w:val="0"/>
        </w:rPr>
        <w:t>Modellentwicklung (2024) und retrospektiven Benchmark (2025)</w:t>
      </w:r>
      <w:r w:rsidDel="00000000" w:rsidR="00000000" w:rsidRPr="00000000">
        <w:rPr>
          <w:rtl w:val="0"/>
        </w:rPr>
      </w:r>
      <w:r w:rsidDel="00000000" w:rsidR="00000000" w:rsidRPr="00000000">
        <w:rPr>
          <w:b w:val="1"/>
          <w:bCs w:val="1"/>
          <w:rtl w:val="0"/>
        </w:rPr>
      </w:r>
      <w:r w:rsidDel="00000000" w:rsidR="00000000" w:rsidRPr="00000000">
        <w:rPr>
          <w:rtl w:val="0"/>
        </w:rPr>
        <w:t xml:space="preserve">.</w:t>
      </w:r>
    </w:p>
    <w:p w:rsidR="00000000" w:rsidDel="00000000" w:rsidP="00000000" w:rsidRDefault="00000000" w:rsidRPr="00000000" w14:paraId="000000A1">
      <w:pPr>
        <w:rPr/>
      </w:pPr>
      <w:r w:rsidDel="00000000" w:rsidR="00000000" w:rsidRPr="00000000">
        <w:rPr>
          <w:rtl w:val="0"/>
        </w:rPr>
      </w:r>
    </w:p>
    <w:p>
      <w:pPr>
        <w:pStyle w:val="Heading3"/>
        <w:jc w:val="left"/>
      </w:pPr>
      <w:r>
        <w:t>4.1.4   Transformation und Feature Engineering</w:t>
      </w:r>
    </w:p>
    <w:p>
      <w:pPr>
        <w:jc w:val="left"/>
      </w:pPr>
      <w:r>
        <w:t>Als interne Zielvariable wurden Vollaststunden (VLS) gebildet. Sie ergeben sich aus dem Verbrauch in kWh geteilt durch die Vertragsleistung in kW. Damit wird der Verbrauch relativ zur Anschlussgröße betrachtet. VLS sind hier eine rechnerische Normierung und keine gemessene Laufzeit. Für Fachbereich und Modellbewertung wird jede Prognose wieder in kWh zurückgerechnet.</w:t>
      </w:r>
    </w:p>
    <w:p>
      <w:pPr>
        <w:jc w:val="left"/>
      </w:pPr>
      <w:r>
        <w:t>Die Historienmerkmale wurden chronologisch und getrennt je Zähler berechnet. Der aktuelle Zielmonat wurde durch eine Verschiebung um einen Monat ausgeschlossen. Im ersten Monat blieb die Historie leer, im zweiten Monat stand ein Vormonat zur Verfügung und ab dem vierten Monat flossen bis zu drei gültige Vormonate ein. Als unmöglich markierte Messwerte wurden nicht in spätere Historienfenster übernommen.</w:t>
      </w:r>
    </w:p>
    <w:p>
      <w:pPr>
        <w:jc w:val="left"/>
      </w:pPr>
      <w:r>
        <w:t>Fehlende Merkmalswerte wurden mit einem Median-Imputer behandelt, der in jedem Fold ausschließlich auf den jeweiligen Trainingsdaten gelernt wurde. Der Vorjahresverbrauch blieb im Hauptmodell ungenutzt, weil für 2024 keine Historie aus 2023 vorlag. Auch die regelbasierte EDA-Spalte anomalie wurde weder als Merkmal noch als Ziel verwendet, da sie keine fachlich bestätigte Ground Truth darstellt.</w:t>
      </w:r>
    </w:p>
    <w:p>
      <w:pPr>
        <w:pStyle w:val="Heading3"/>
        <w:jc w:val="left"/>
      </w:pPr>
      <w:r>
        <w:t>4.1.5   Modellierung und zeitliche Validierung</w:t>
      </w:r>
    </w:p>
    <w:p>
      <w:pPr>
        <w:jc w:val="left"/>
      </w:pPr>
      <w:r>
        <w:t>Die Modellwahl erfolgte ausschließlich mit Daten aus Januar bis Oktober 2024. Ein zufälliger Split wurde vermieden, weil sonst spätere Monate in das Training früherer Prognosen gelangen könnten. Stattdessen wurden drei vorwärts laufende Prüfungen genutzt. November und Dezember 2024 dienten anschließend separat zur Kalibrierung der Prüfhinweisschwelle: Für November wurde nur bis Oktober, für Dezember nur bis November trainiert.</w:t>
      </w:r>
    </w:p>
    <w:tbl>
      <w:tblPr>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68"/>
        <w:gridCol w:w="2268"/>
        <w:gridCol w:w="2268"/>
        <w:gridCol w:w="2268"/>
      </w:tblGrid>
      <w:tr>
        <w:trPr>
          <w:tblHeader w:val="true"/>
          <w:cantSplit w:val="true"/>
        </w:trPr>
        <w:tc>
          <w:tcPr>
            <w:tcW w:type="dxa" w:w="1361"/>
            <w:vAlign w:val="center"/>
            <w:shd w:fill="17365D" w:val="clear"/>
          </w:tcPr>
          <w:p>
            <w:pPr>
              <w:spacing w:before="0" w:after="40" w:line="276" w:lineRule="auto"/>
              <w:jc w:val="left"/>
            </w:pPr>
            <w:r>
              <w:rPr>
                <w:rFonts w:ascii="Arial" w:hAnsi="Arial"/>
                <w:b/>
                <w:color w:val="FFFFFF"/>
                <w:sz w:val="24"/>
              </w:rPr>
              <w:t>Block</w:t>
            </w:r>
          </w:p>
        </w:tc>
        <w:tc>
          <w:tcPr>
            <w:tcW w:type="dxa" w:w="2721"/>
            <w:vAlign w:val="center"/>
            <w:shd w:fill="17365D" w:val="clear"/>
          </w:tcPr>
          <w:p>
            <w:pPr>
              <w:spacing w:before="0" w:after="40" w:line="276" w:lineRule="auto"/>
              <w:jc w:val="left"/>
            </w:pPr>
            <w:r>
              <w:rPr>
                <w:rFonts w:ascii="Arial" w:hAnsi="Arial"/>
                <w:b/>
                <w:color w:val="FFFFFF"/>
                <w:sz w:val="24"/>
              </w:rPr>
              <w:t>Lernen</w:t>
            </w:r>
          </w:p>
        </w:tc>
        <w:tc>
          <w:tcPr>
            <w:tcW w:type="dxa" w:w="2438"/>
            <w:vAlign w:val="center"/>
            <w:shd w:fill="17365D" w:val="clear"/>
          </w:tcPr>
          <w:p>
            <w:pPr>
              <w:spacing w:before="0" w:after="40" w:line="276" w:lineRule="auto"/>
              <w:jc w:val="left"/>
            </w:pPr>
            <w:r>
              <w:rPr>
                <w:rFonts w:ascii="Arial" w:hAnsi="Arial"/>
                <w:b/>
                <w:color w:val="FFFFFF"/>
                <w:sz w:val="24"/>
              </w:rPr>
              <w:t>Bewerten</w:t>
            </w:r>
          </w:p>
        </w:tc>
        <w:tc>
          <w:tcPr>
            <w:tcW w:type="dxa" w:w="2551"/>
            <w:vAlign w:val="center"/>
            <w:shd w:fill="17365D" w:val="clear"/>
          </w:tcPr>
          <w:p>
            <w:pPr>
              <w:spacing w:before="0" w:after="40" w:line="276" w:lineRule="auto"/>
              <w:jc w:val="left"/>
            </w:pPr>
            <w:r>
              <w:rPr>
                <w:rFonts w:ascii="Arial" w:hAnsi="Arial"/>
                <w:b/>
                <w:color w:val="FFFFFF"/>
                <w:sz w:val="24"/>
              </w:rPr>
              <w:t>Zweck</w:t>
            </w:r>
          </w:p>
        </w:tc>
      </w:tr>
      <w:tr>
        <w:trPr>
          <w:cantSplit w:val="true"/>
        </w:trPr>
        <w:tc>
          <w:tcPr>
            <w:tcW w:type="dxa" w:w="1361"/>
            <w:vAlign w:val="center"/>
            <w:shd w:fill="FFFFFF" w:val="clear"/>
          </w:tcPr>
          <w:p>
            <w:pPr>
              <w:spacing w:before="0" w:after="40" w:line="276" w:lineRule="auto"/>
              <w:jc w:val="left"/>
            </w:pPr>
            <w:r>
              <w:rPr>
                <w:rFonts w:ascii="Arial" w:hAnsi="Arial"/>
                <w:b w:val="0"/>
                <w:color w:val="000000"/>
                <w:sz w:val="24"/>
              </w:rPr>
              <w:t>Fold 1</w:t>
            </w:r>
          </w:p>
        </w:tc>
        <w:tc>
          <w:tcPr>
            <w:tcW w:type="dxa" w:w="2721"/>
            <w:vAlign w:val="center"/>
            <w:shd w:fill="FFFFFF" w:val="clear"/>
          </w:tcPr>
          <w:p>
            <w:pPr>
              <w:spacing w:before="0" w:after="40" w:line="276" w:lineRule="auto"/>
              <w:jc w:val="left"/>
            </w:pPr>
            <w:r>
              <w:rPr>
                <w:rFonts w:ascii="Arial" w:hAnsi="Arial"/>
                <w:b w:val="0"/>
                <w:color w:val="000000"/>
                <w:sz w:val="24"/>
              </w:rPr>
              <w:t>01/2024–04/2024</w:t>
            </w:r>
          </w:p>
        </w:tc>
        <w:tc>
          <w:tcPr>
            <w:tcW w:type="dxa" w:w="2438"/>
            <w:vAlign w:val="center"/>
            <w:shd w:fill="FFFFFF" w:val="clear"/>
          </w:tcPr>
          <w:p>
            <w:pPr>
              <w:spacing w:before="0" w:after="40" w:line="276" w:lineRule="auto"/>
              <w:jc w:val="left"/>
            </w:pPr>
            <w:r>
              <w:rPr>
                <w:rFonts w:ascii="Arial" w:hAnsi="Arial"/>
                <w:b w:val="0"/>
                <w:color w:val="000000"/>
                <w:sz w:val="24"/>
              </w:rPr>
              <w:t>05/2024–06/2024</w:t>
            </w:r>
          </w:p>
        </w:tc>
        <w:tc>
          <w:tcPr>
            <w:tcW w:type="dxa" w:w="2551"/>
            <w:vAlign w:val="center"/>
            <w:shd w:fill="FFFFFF" w:val="clear"/>
          </w:tcPr>
          <w:p>
            <w:pPr>
              <w:spacing w:before="0" w:after="40" w:line="276" w:lineRule="auto"/>
              <w:jc w:val="left"/>
            </w:pPr>
            <w:r>
              <w:rPr>
                <w:rFonts w:ascii="Arial" w:hAnsi="Arial"/>
                <w:b w:val="0"/>
                <w:color w:val="000000"/>
                <w:sz w:val="24"/>
              </w:rPr>
              <w:t>Modellvergleich</w:t>
            </w:r>
          </w:p>
        </w:tc>
      </w:tr>
      <w:tr>
        <w:trPr>
          <w:cantSplit w:val="true"/>
        </w:trPr>
        <w:tc>
          <w:tcPr>
            <w:tcW w:type="dxa" w:w="1361"/>
            <w:vAlign w:val="center"/>
            <w:shd w:fill="F3F6FA" w:val="clear"/>
          </w:tcPr>
          <w:p>
            <w:pPr>
              <w:spacing w:before="0" w:after="40" w:line="276" w:lineRule="auto"/>
              <w:jc w:val="left"/>
            </w:pPr>
            <w:r>
              <w:rPr>
                <w:rFonts w:ascii="Arial" w:hAnsi="Arial"/>
                <w:b w:val="0"/>
                <w:color w:val="000000"/>
                <w:sz w:val="24"/>
              </w:rPr>
              <w:t>Fold 2</w:t>
            </w:r>
          </w:p>
        </w:tc>
        <w:tc>
          <w:tcPr>
            <w:tcW w:type="dxa" w:w="2721"/>
            <w:vAlign w:val="center"/>
            <w:shd w:fill="F3F6FA" w:val="clear"/>
          </w:tcPr>
          <w:p>
            <w:pPr>
              <w:spacing w:before="0" w:after="40" w:line="276" w:lineRule="auto"/>
              <w:jc w:val="left"/>
            </w:pPr>
            <w:r>
              <w:rPr>
                <w:rFonts w:ascii="Arial" w:hAnsi="Arial"/>
                <w:b w:val="0"/>
                <w:color w:val="000000"/>
                <w:sz w:val="24"/>
              </w:rPr>
              <w:t>01/2024–06/2024</w:t>
            </w:r>
          </w:p>
        </w:tc>
        <w:tc>
          <w:tcPr>
            <w:tcW w:type="dxa" w:w="2438"/>
            <w:vAlign w:val="center"/>
            <w:shd w:fill="F3F6FA" w:val="clear"/>
          </w:tcPr>
          <w:p>
            <w:pPr>
              <w:spacing w:before="0" w:after="40" w:line="276" w:lineRule="auto"/>
              <w:jc w:val="left"/>
            </w:pPr>
            <w:r>
              <w:rPr>
                <w:rFonts w:ascii="Arial" w:hAnsi="Arial"/>
                <w:b w:val="0"/>
                <w:color w:val="000000"/>
                <w:sz w:val="24"/>
              </w:rPr>
              <w:t>07/2024–08/2024</w:t>
            </w:r>
          </w:p>
        </w:tc>
        <w:tc>
          <w:tcPr>
            <w:tcW w:type="dxa" w:w="2551"/>
            <w:vAlign w:val="center"/>
            <w:shd w:fill="F3F6FA" w:val="clear"/>
          </w:tcPr>
          <w:p>
            <w:pPr>
              <w:spacing w:before="0" w:after="40" w:line="276" w:lineRule="auto"/>
              <w:jc w:val="left"/>
            </w:pPr>
            <w:r>
              <w:rPr>
                <w:rFonts w:ascii="Arial" w:hAnsi="Arial"/>
                <w:b w:val="0"/>
                <w:color w:val="000000"/>
                <w:sz w:val="24"/>
              </w:rPr>
              <w:t>Modellvergleich</w:t>
            </w:r>
          </w:p>
        </w:tc>
      </w:tr>
      <w:tr>
        <w:trPr>
          <w:cantSplit w:val="true"/>
        </w:trPr>
        <w:tc>
          <w:tcPr>
            <w:tcW w:type="dxa" w:w="1361"/>
            <w:vAlign w:val="center"/>
            <w:shd w:fill="FFFFFF" w:val="clear"/>
          </w:tcPr>
          <w:p>
            <w:pPr>
              <w:spacing w:before="0" w:after="40" w:line="276" w:lineRule="auto"/>
              <w:jc w:val="left"/>
            </w:pPr>
            <w:r>
              <w:rPr>
                <w:rFonts w:ascii="Arial" w:hAnsi="Arial"/>
                <w:b w:val="0"/>
                <w:color w:val="000000"/>
                <w:sz w:val="24"/>
              </w:rPr>
              <w:t>Fold 3</w:t>
            </w:r>
          </w:p>
        </w:tc>
        <w:tc>
          <w:tcPr>
            <w:tcW w:type="dxa" w:w="2721"/>
            <w:vAlign w:val="center"/>
            <w:shd w:fill="FFFFFF" w:val="clear"/>
          </w:tcPr>
          <w:p>
            <w:pPr>
              <w:spacing w:before="0" w:after="40" w:line="276" w:lineRule="auto"/>
              <w:jc w:val="left"/>
            </w:pPr>
            <w:r>
              <w:rPr>
                <w:rFonts w:ascii="Arial" w:hAnsi="Arial"/>
                <w:b w:val="0"/>
                <w:color w:val="000000"/>
                <w:sz w:val="24"/>
              </w:rPr>
              <w:t>01/2024–08/2024</w:t>
            </w:r>
          </w:p>
        </w:tc>
        <w:tc>
          <w:tcPr>
            <w:tcW w:type="dxa" w:w="2438"/>
            <w:vAlign w:val="center"/>
            <w:shd w:fill="FFFFFF" w:val="clear"/>
          </w:tcPr>
          <w:p>
            <w:pPr>
              <w:spacing w:before="0" w:after="40" w:line="276" w:lineRule="auto"/>
              <w:jc w:val="left"/>
            </w:pPr>
            <w:r>
              <w:rPr>
                <w:rFonts w:ascii="Arial" w:hAnsi="Arial"/>
                <w:b w:val="0"/>
                <w:color w:val="000000"/>
                <w:sz w:val="24"/>
              </w:rPr>
              <w:t>09/2024–10/2024</w:t>
            </w:r>
          </w:p>
        </w:tc>
        <w:tc>
          <w:tcPr>
            <w:tcW w:type="dxa" w:w="2551"/>
            <w:vAlign w:val="center"/>
            <w:shd w:fill="FFFFFF" w:val="clear"/>
          </w:tcPr>
          <w:p>
            <w:pPr>
              <w:spacing w:before="0" w:after="40" w:line="276" w:lineRule="auto"/>
              <w:jc w:val="left"/>
            </w:pPr>
            <w:r>
              <w:rPr>
                <w:rFonts w:ascii="Arial" w:hAnsi="Arial"/>
                <w:b w:val="0"/>
                <w:color w:val="000000"/>
                <w:sz w:val="24"/>
              </w:rPr>
              <w:t>Modellvergleich</w:t>
            </w:r>
          </w:p>
        </w:tc>
      </w:tr>
      <w:tr>
        <w:trPr>
          <w:cantSplit w:val="true"/>
        </w:trPr>
        <w:tc>
          <w:tcPr>
            <w:tcW w:type="dxa" w:w="1361"/>
            <w:vAlign w:val="center"/>
            <w:shd w:fill="F3F6FA" w:val="clear"/>
          </w:tcPr>
          <w:p>
            <w:pPr>
              <w:spacing w:before="0" w:after="40" w:line="276" w:lineRule="auto"/>
              <w:jc w:val="left"/>
            </w:pPr>
            <w:r>
              <w:rPr>
                <w:rFonts w:ascii="Arial" w:hAnsi="Arial"/>
                <w:b w:val="0"/>
                <w:color w:val="000000"/>
                <w:sz w:val="24"/>
              </w:rPr>
              <w:t>Kalibrierung</w:t>
            </w:r>
          </w:p>
        </w:tc>
        <w:tc>
          <w:tcPr>
            <w:tcW w:type="dxa" w:w="2721"/>
            <w:vAlign w:val="center"/>
            <w:shd w:fill="F3F6FA" w:val="clear"/>
          </w:tcPr>
          <w:p>
            <w:pPr>
              <w:spacing w:before="0" w:after="40" w:line="276" w:lineRule="auto"/>
              <w:jc w:val="left"/>
            </w:pPr>
            <w:r>
              <w:rPr>
                <w:rFonts w:ascii="Arial" w:hAnsi="Arial"/>
                <w:b w:val="0"/>
                <w:color w:val="000000"/>
                <w:sz w:val="24"/>
              </w:rPr>
              <w:t>jeweils alle früheren Monate</w:t>
            </w:r>
          </w:p>
        </w:tc>
        <w:tc>
          <w:tcPr>
            <w:tcW w:type="dxa" w:w="2438"/>
            <w:vAlign w:val="center"/>
            <w:shd w:fill="F3F6FA" w:val="clear"/>
          </w:tcPr>
          <w:p>
            <w:pPr>
              <w:spacing w:before="0" w:after="40" w:line="276" w:lineRule="auto"/>
              <w:jc w:val="left"/>
            </w:pPr>
            <w:r>
              <w:rPr>
                <w:rFonts w:ascii="Arial" w:hAnsi="Arial"/>
                <w:b w:val="0"/>
                <w:color w:val="000000"/>
                <w:sz w:val="24"/>
              </w:rPr>
              <w:t>11/2024–12/2024</w:t>
            </w:r>
          </w:p>
        </w:tc>
        <w:tc>
          <w:tcPr>
            <w:tcW w:type="dxa" w:w="2551"/>
            <w:vAlign w:val="center"/>
            <w:shd w:fill="F3F6FA" w:val="clear"/>
          </w:tcPr>
          <w:p>
            <w:pPr>
              <w:spacing w:before="0" w:after="40" w:line="276" w:lineRule="auto"/>
              <w:jc w:val="left"/>
            </w:pPr>
            <w:r>
              <w:rPr>
                <w:rFonts w:ascii="Arial" w:hAnsi="Arial"/>
                <w:b w:val="0"/>
                <w:color w:val="000000"/>
                <w:sz w:val="24"/>
              </w:rPr>
              <w:t>Schwelle festlegen</w:t>
            </w:r>
          </w:p>
        </w:tc>
      </w:tr>
      <w:tr>
        <w:trPr>
          <w:cantSplit w:val="true"/>
        </w:trPr>
        <w:tc>
          <w:tcPr>
            <w:tcW w:type="dxa" w:w="1361"/>
            <w:vAlign w:val="center"/>
            <w:shd w:fill="FFFFFF" w:val="clear"/>
          </w:tcPr>
          <w:p>
            <w:pPr>
              <w:spacing w:before="0" w:after="40" w:line="276" w:lineRule="auto"/>
              <w:jc w:val="left"/>
            </w:pPr>
            <w:r>
              <w:rPr>
                <w:rFonts w:ascii="Arial" w:hAnsi="Arial"/>
                <w:b w:val="0"/>
                <w:color w:val="000000"/>
                <w:sz w:val="24"/>
              </w:rPr>
              <w:t>Benchmark</w:t>
            </w:r>
          </w:p>
        </w:tc>
        <w:tc>
          <w:tcPr>
            <w:tcW w:type="dxa" w:w="2721"/>
            <w:vAlign w:val="center"/>
            <w:shd w:fill="FFFFFF" w:val="clear"/>
          </w:tcPr>
          <w:p>
            <w:pPr>
              <w:spacing w:before="0" w:after="40" w:line="276" w:lineRule="auto"/>
              <w:jc w:val="left"/>
            </w:pPr>
            <w:r>
              <w:rPr>
                <w:rFonts w:ascii="Arial" w:hAnsi="Arial"/>
                <w:b w:val="0"/>
                <w:color w:val="000000"/>
                <w:sz w:val="24"/>
              </w:rPr>
              <w:t>gesamtes Jahr 2024</w:t>
            </w:r>
          </w:p>
        </w:tc>
        <w:tc>
          <w:tcPr>
            <w:tcW w:type="dxa" w:w="2438"/>
            <w:vAlign w:val="center"/>
            <w:shd w:fill="FFFFFF" w:val="clear"/>
          </w:tcPr>
          <w:p>
            <w:pPr>
              <w:spacing w:before="0" w:after="40" w:line="276" w:lineRule="auto"/>
              <w:jc w:val="left"/>
            </w:pPr>
            <w:r>
              <w:rPr>
                <w:rFonts w:ascii="Arial" w:hAnsi="Arial"/>
                <w:b w:val="0"/>
                <w:color w:val="000000"/>
                <w:sz w:val="24"/>
              </w:rPr>
              <w:t>01/2025–12/2025</w:t>
            </w:r>
          </w:p>
        </w:tc>
        <w:tc>
          <w:tcPr>
            <w:tcW w:type="dxa" w:w="2551"/>
            <w:vAlign w:val="center"/>
            <w:shd w:fill="FFFFFF" w:val="clear"/>
          </w:tcPr>
          <w:p>
            <w:pPr>
              <w:spacing w:before="0" w:after="40" w:line="276" w:lineRule="auto"/>
              <w:jc w:val="left"/>
            </w:pPr>
            <w:r>
              <w:rPr>
                <w:rFonts w:ascii="Arial" w:hAnsi="Arial"/>
                <w:b w:val="0"/>
                <w:color w:val="000000"/>
                <w:sz w:val="24"/>
              </w:rPr>
              <w:t>retrospektive Prüfung</w:t>
            </w:r>
          </w:p>
        </w:tc>
      </w:tr>
    </w:tbl>
    <w:p>
      <w:r>
        <w:t>Für den Random Forest wurden acht Kombinationen aus maximaler Baumtiefe (8 oder unbegrenzt), minimaler Blattgröße (5 oder 20) und Merkmalsanteil je Aufteilung (0,7 oder 1,0) in allen drei Folds geprüft. Dies entspricht 24 kontrollierten Modellanpassungen. Die Anzahl der Bäume blieb bei 300 und der Zufallsstartwert bei 42. Die beste Kombination war maximale Tiefe 8, mindestens 5 Fälle pro Blatt und ein Merkmalsanteil von 0,7.</w:t>
      </w:r>
    </w:p>
    <w:p>
      <w:pPr>
        <w:jc w:val="left"/>
      </w:pPr>
      <w:r>
        <w:t>Nach Modellwahl und Schwellenkalibrierung wurde der ausgewählte Random Forest auf allen gültigen Entwicklungsdaten aus 2024 neu trainiert. Modelltyp, Hyperparameter und Entscheidungsgrenze blieben für 2025 unverändert. Die zulässigen Historienmerkmale wurden nach jedem abgeschlossenen Monat aktualisiert. Dies bildet eine One-Step-Ahead-Anwendung nach und keine einmalige Prognose aller zwölf Monate zu Jahresbeginn.</w:t>
      </w:r>
    </w:p>
    <w:p>
      <w:pPr>
        <w:pStyle w:val="Heading3"/>
        <w:jc w:val="left"/>
      </w:pPr>
      <w:r>
        <w:t>4.1.6   Visualisierung</w:t>
      </w:r>
    </w:p>
    <w:p>
      <w:pPr>
        <w:jc w:val="left"/>
      </w:pPr>
      <w:r>
        <w:t>Für die Modellentscheidung wurden der RMSE-Vergleich mit Baselines, die Streuung der Zeit-Folds, die gruppierte Permutation Importance und die sortierten Kalibrierungsfehler visualisiert. Für die fachliche Prüfung verbindet das Dashboard Istwert, Prognose, Residuum, Schwellenfaktor und betriebliche Kontextmerkmale je Fall.</w:t>
      </w:r>
    </w:p>
    <w:p>
      <w:pPr>
        <w:pStyle w:val="Heading3"/>
        <w:jc w:val="left"/>
      </w:pPr>
      <w:r>
        <w:t>4.1.7   Export und Ergebnisübergabe</w:t>
      </w:r>
    </w:p>
    <w:p>
      <w:pPr>
        <w:jc w:val="left"/>
      </w:pPr>
      <w:r>
        <w:t>Die Ergebnisdatei für das Dashboard enthält pro Zähler-Monat die kWh-Prognose, den Istwert, das Residuum in kWh und VLS, den Schwellenfaktor, den Prüfhinweis sowie Datenqualitäts-, Produktions- und Wartungskontext. Damit bleibt die Modellrechnung von der fachlichen Entscheidung getrennt und zugleich nachvollziehbar.</w:t>
      </w:r>
    </w:p>
    <w:p w:rsidR="00000000" w:rsidDel="00000000" w:rsidP="00000000" w:rsidRDefault="00000000" w:rsidRPr="00000000" w14:paraId="000000A2">
      <w:pPr>
        <w:pStyle w:val="Heading2"/>
        <w:rPr/>
      </w:pPr>
      <w:r w:rsidDel="00000000" w:rsidR="00000000" w:rsidRPr="00000000">
        <w:rPr>
          <w:rtl w:val="0"/>
        </w:rPr>
        <w:t xml:space="preserve">4.2   Datenmodell (bereinigte analytische Tabelle)</w:t>
      </w:r>
    </w:p>
    <w:p>
      <w:pPr>
        <w:jc w:val="left"/>
      </w:pPr>
      <w:r>
        <w:t>Die finale Modellierungsdatei umfasst 20 Spalten. Vollaststunden sind die interne kontinuierliche Zielvariable; verbrauch_kwh bleibt der realisierte Monatswert und die fachliche Ausgabeeinheit. Drei als ziel_rekonstruiert gekennzeichnete Werte wurden weder für das Training noch für Modellmetriken oder die Schwellenkalibrierung verwendet.</w:t>
      </w:r>
    </w:p>
    <w:p>
      <w:pPr>
        <w:jc w:val="center"/>
      </w:pPr>
      <w:r>
        <w:rPr>
          <w:b/>
        </w:rPr>
        <w:t>Vollaststunden = Verbrauch in kWh ÷ Vertragsleistung in kW</w:t>
      </w:r>
    </w:p>
    <w:tbl>
      <w:tblPr>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68"/>
        <w:gridCol w:w="2268"/>
        <w:gridCol w:w="2268"/>
        <w:gridCol w:w="2268"/>
      </w:tblGrid>
      <w:tr>
        <w:trPr>
          <w:tblHeader w:val="true"/>
          <w:cantSplit w:val="true"/>
        </w:trPr>
        <w:tc>
          <w:tcPr>
            <w:tcW w:type="dxa" w:w="1928"/>
            <w:vAlign w:val="center"/>
            <w:shd w:fill="17365D" w:val="clear"/>
          </w:tcPr>
          <w:p>
            <w:pPr>
              <w:spacing w:before="0" w:after="40" w:line="276" w:lineRule="auto"/>
              <w:jc w:val="left"/>
            </w:pPr>
            <w:r>
              <w:rPr>
                <w:rFonts w:ascii="Arial" w:hAnsi="Arial"/>
                <w:b/>
                <w:color w:val="FFFFFF"/>
                <w:sz w:val="24"/>
              </w:rPr>
              <w:t>Gruppe</w:t>
            </w:r>
          </w:p>
        </w:tc>
        <w:tc>
          <w:tcPr>
            <w:tcW w:type="dxa" w:w="2835"/>
            <w:vAlign w:val="center"/>
            <w:shd w:fill="17365D" w:val="clear"/>
          </w:tcPr>
          <w:p>
            <w:pPr>
              <w:spacing w:before="0" w:after="40" w:line="276" w:lineRule="auto"/>
              <w:jc w:val="left"/>
            </w:pPr>
            <w:r>
              <w:rPr>
                <w:rFonts w:ascii="Arial" w:hAnsi="Arial"/>
                <w:b/>
                <w:color w:val="FFFFFF"/>
                <w:sz w:val="24"/>
              </w:rPr>
              <w:t>Spalten</w:t>
            </w:r>
          </w:p>
        </w:tc>
        <w:tc>
          <w:tcPr>
            <w:tcW w:type="dxa" w:w="1361"/>
            <w:vAlign w:val="center"/>
            <w:shd w:fill="17365D" w:val="clear"/>
          </w:tcPr>
          <w:p>
            <w:pPr>
              <w:spacing w:before="0" w:after="40" w:line="276" w:lineRule="auto"/>
              <w:jc w:val="left"/>
            </w:pPr>
            <w:r>
              <w:rPr>
                <w:rFonts w:ascii="Arial" w:hAnsi="Arial"/>
                <w:b/>
                <w:color w:val="FFFFFF"/>
                <w:sz w:val="24"/>
              </w:rPr>
              <w:t>Typen</w:t>
            </w:r>
          </w:p>
        </w:tc>
        <w:tc>
          <w:tcPr>
            <w:tcW w:type="dxa" w:w="2948"/>
            <w:vAlign w:val="center"/>
            <w:shd w:fill="17365D" w:val="clear"/>
          </w:tcPr>
          <w:p>
            <w:pPr>
              <w:spacing w:before="0" w:after="40" w:line="276" w:lineRule="auto"/>
              <w:jc w:val="left"/>
            </w:pPr>
            <w:r>
              <w:rPr>
                <w:rFonts w:ascii="Arial" w:hAnsi="Arial"/>
                <w:b/>
                <w:color w:val="FFFFFF"/>
                <w:sz w:val="24"/>
              </w:rPr>
              <w:t>Rolle im Modell</w:t>
            </w:r>
          </w:p>
        </w:tc>
      </w:tr>
      <w:tr>
        <w:trPr>
          <w:cantSplit w:val="true"/>
        </w:trPr>
        <w:tc>
          <w:tcPr>
            <w:tcW w:type="dxa" w:w="1928"/>
            <w:vAlign w:val="center"/>
            <w:shd w:fill="FFFFFF" w:val="clear"/>
          </w:tcPr>
          <w:p>
            <w:pPr>
              <w:spacing w:before="0" w:after="40" w:line="276" w:lineRule="auto"/>
              <w:jc w:val="left"/>
            </w:pPr>
            <w:r>
              <w:rPr>
                <w:rFonts w:ascii="Arial" w:hAnsi="Arial"/>
                <w:b w:val="0"/>
                <w:color w:val="000000"/>
                <w:sz w:val="24"/>
              </w:rPr>
              <w:t>Identifikation und Zeit</w:t>
            </w:r>
          </w:p>
        </w:tc>
        <w:tc>
          <w:tcPr>
            <w:tcW w:type="dxa" w:w="2835"/>
            <w:vAlign w:val="center"/>
            <w:shd w:fill="FFFFFF" w:val="clear"/>
          </w:tcPr>
          <w:p>
            <w:pPr>
              <w:spacing w:before="0" w:after="40" w:line="276" w:lineRule="auto"/>
              <w:jc w:val="left"/>
            </w:pPr>
            <w:r>
              <w:rPr>
                <w:rFonts w:ascii="Arial" w:hAnsi="Arial"/>
                <w:b w:val="0"/>
                <w:color w:val="000000"/>
                <w:sz w:val="24"/>
              </w:rPr>
              <w:t>zaehler_id, monat, jahr, split</w:t>
            </w:r>
          </w:p>
        </w:tc>
        <w:tc>
          <w:tcPr>
            <w:tcW w:type="dxa" w:w="1361"/>
            <w:vAlign w:val="center"/>
            <w:shd w:fill="FFFFFF" w:val="clear"/>
          </w:tcPr>
          <w:p>
            <w:pPr>
              <w:spacing w:before="0" w:after="40" w:line="276" w:lineRule="auto"/>
              <w:jc w:val="left"/>
            </w:pPr>
            <w:r>
              <w:rPr>
                <w:rFonts w:ascii="Arial" w:hAnsi="Arial"/>
                <w:b w:val="0"/>
                <w:color w:val="000000"/>
                <w:sz w:val="24"/>
              </w:rPr>
              <w:t>Text, Datum, Ganzzahl</w:t>
            </w:r>
          </w:p>
        </w:tc>
        <w:tc>
          <w:tcPr>
            <w:tcW w:type="dxa" w:w="2948"/>
            <w:vAlign w:val="center"/>
            <w:shd w:fill="FFFFFF" w:val="clear"/>
          </w:tcPr>
          <w:p>
            <w:pPr>
              <w:spacing w:before="0" w:after="40" w:line="276" w:lineRule="auto"/>
              <w:jc w:val="left"/>
            </w:pPr>
            <w:r>
              <w:rPr>
                <w:rFonts w:ascii="Arial" w:hAnsi="Arial"/>
                <w:b w:val="0"/>
                <w:color w:val="000000"/>
                <w:sz w:val="24"/>
              </w:rPr>
              <w:t>Eindeutige Zuordnung und zeitliche Aufteilung</w:t>
            </w:r>
          </w:p>
        </w:tc>
      </w:tr>
      <w:tr>
        <w:trPr>
          <w:cantSplit w:val="true"/>
        </w:trPr>
        <w:tc>
          <w:tcPr>
            <w:tcW w:type="dxa" w:w="1928"/>
            <w:vAlign w:val="center"/>
            <w:shd w:fill="F3F6FA" w:val="clear"/>
          </w:tcPr>
          <w:p>
            <w:pPr>
              <w:spacing w:before="0" w:after="40" w:line="276" w:lineRule="auto"/>
              <w:jc w:val="left"/>
            </w:pPr>
            <w:r>
              <w:rPr>
                <w:rFonts w:ascii="Arial" w:hAnsi="Arial"/>
                <w:b w:val="0"/>
                <w:color w:val="000000"/>
                <w:sz w:val="24"/>
              </w:rPr>
              <w:t>Ziel und Ausgabe</w:t>
            </w:r>
          </w:p>
        </w:tc>
        <w:tc>
          <w:tcPr>
            <w:tcW w:type="dxa" w:w="2835"/>
            <w:vAlign w:val="center"/>
            <w:shd w:fill="F3F6FA" w:val="clear"/>
          </w:tcPr>
          <w:p>
            <w:pPr>
              <w:spacing w:before="0" w:after="40" w:line="276" w:lineRule="auto"/>
              <w:jc w:val="left"/>
            </w:pPr>
            <w:r>
              <w:rPr>
                <w:rFonts w:ascii="Arial" w:hAnsi="Arial"/>
                <w:b w:val="0"/>
                <w:color w:val="000000"/>
                <w:sz w:val="24"/>
              </w:rPr>
              <w:t>vollaststunden, verbrauch_kwh</w:t>
            </w:r>
          </w:p>
        </w:tc>
        <w:tc>
          <w:tcPr>
            <w:tcW w:type="dxa" w:w="1361"/>
            <w:vAlign w:val="center"/>
            <w:shd w:fill="F3F6FA" w:val="clear"/>
          </w:tcPr>
          <w:p>
            <w:pPr>
              <w:spacing w:before="0" w:after="40" w:line="276" w:lineRule="auto"/>
              <w:jc w:val="left"/>
            </w:pPr>
            <w:r>
              <w:rPr>
                <w:rFonts w:ascii="Arial" w:hAnsi="Arial"/>
                <w:b w:val="0"/>
                <w:color w:val="000000"/>
                <w:sz w:val="24"/>
              </w:rPr>
              <w:t>Zahl</w:t>
            </w:r>
          </w:p>
        </w:tc>
        <w:tc>
          <w:tcPr>
            <w:tcW w:type="dxa" w:w="2948"/>
            <w:vAlign w:val="center"/>
            <w:shd w:fill="F3F6FA" w:val="clear"/>
          </w:tcPr>
          <w:p>
            <w:pPr>
              <w:spacing w:before="0" w:after="40" w:line="276" w:lineRule="auto"/>
              <w:jc w:val="left"/>
            </w:pPr>
            <w:r>
              <w:rPr>
                <w:rFonts w:ascii="Arial" w:hAnsi="Arial"/>
                <w:b w:val="0"/>
                <w:color w:val="000000"/>
                <w:sz w:val="24"/>
              </w:rPr>
              <w:t>Interne Zielvariable und realisierte kWh-Ausgabe</w:t>
            </w:r>
          </w:p>
        </w:tc>
      </w:tr>
      <w:tr>
        <w:trPr>
          <w:cantSplit w:val="true"/>
        </w:trPr>
        <w:tc>
          <w:tcPr>
            <w:tcW w:type="dxa" w:w="1928"/>
            <w:vAlign w:val="center"/>
            <w:shd w:fill="FFFFFF" w:val="clear"/>
          </w:tcPr>
          <w:p>
            <w:pPr>
              <w:spacing w:before="0" w:after="40" w:line="276" w:lineRule="auto"/>
              <w:jc w:val="left"/>
            </w:pPr>
            <w:r>
              <w:rPr>
                <w:rFonts w:ascii="Arial" w:hAnsi="Arial"/>
                <w:b w:val="0"/>
                <w:color w:val="000000"/>
                <w:sz w:val="24"/>
              </w:rPr>
              <w:t>Vertrag und Kunde</w:t>
            </w:r>
          </w:p>
        </w:tc>
        <w:tc>
          <w:tcPr>
            <w:tcW w:type="dxa" w:w="2835"/>
            <w:vAlign w:val="center"/>
            <w:shd w:fill="FFFFFF" w:val="clear"/>
          </w:tcPr>
          <w:p>
            <w:pPr>
              <w:spacing w:before="0" w:after="40" w:line="276" w:lineRule="auto"/>
              <w:jc w:val="left"/>
            </w:pPr>
            <w:r>
              <w:rPr>
                <w:rFonts w:ascii="Arial" w:hAnsi="Arial"/>
                <w:b w:val="0"/>
                <w:color w:val="000000"/>
                <w:sz w:val="24"/>
              </w:rPr>
              <w:t>vertragsleistung_kw, kundentyp</w:t>
            </w:r>
          </w:p>
        </w:tc>
        <w:tc>
          <w:tcPr>
            <w:tcW w:type="dxa" w:w="1361"/>
            <w:vAlign w:val="center"/>
            <w:shd w:fill="FFFFFF" w:val="clear"/>
          </w:tcPr>
          <w:p>
            <w:pPr>
              <w:spacing w:before="0" w:after="40" w:line="276" w:lineRule="auto"/>
              <w:jc w:val="left"/>
            </w:pPr>
            <w:r>
              <w:rPr>
                <w:rFonts w:ascii="Arial" w:hAnsi="Arial"/>
                <w:b w:val="0"/>
                <w:color w:val="000000"/>
                <w:sz w:val="24"/>
              </w:rPr>
              <w:t>Zahl, Text</w:t>
            </w:r>
          </w:p>
        </w:tc>
        <w:tc>
          <w:tcPr>
            <w:tcW w:type="dxa" w:w="2948"/>
            <w:vAlign w:val="center"/>
            <w:shd w:fill="FFFFFF" w:val="clear"/>
          </w:tcPr>
          <w:p>
            <w:pPr>
              <w:spacing w:before="0" w:after="40" w:line="276" w:lineRule="auto"/>
              <w:jc w:val="left"/>
            </w:pPr>
            <w:r>
              <w:rPr>
                <w:rFonts w:ascii="Arial" w:hAnsi="Arial"/>
                <w:b w:val="0"/>
                <w:color w:val="000000"/>
                <w:sz w:val="24"/>
              </w:rPr>
              <w:t>Normierung, Rückrechnung und Kundengruppe</w:t>
            </w:r>
          </w:p>
        </w:tc>
      </w:tr>
      <w:tr>
        <w:trPr>
          <w:cantSplit w:val="true"/>
        </w:trPr>
        <w:tc>
          <w:tcPr>
            <w:tcW w:type="dxa" w:w="1928"/>
            <w:vAlign w:val="center"/>
            <w:shd w:fill="F3F6FA" w:val="clear"/>
          </w:tcPr>
          <w:p>
            <w:pPr>
              <w:spacing w:before="0" w:after="40" w:line="276" w:lineRule="auto"/>
              <w:jc w:val="left"/>
            </w:pPr>
            <w:r>
              <w:rPr>
                <w:rFonts w:ascii="Arial" w:hAnsi="Arial"/>
                <w:b w:val="0"/>
                <w:color w:val="000000"/>
                <w:sz w:val="24"/>
              </w:rPr>
              <w:t>Kalender und Wetter</w:t>
            </w:r>
          </w:p>
        </w:tc>
        <w:tc>
          <w:tcPr>
            <w:tcW w:type="dxa" w:w="2835"/>
            <w:vAlign w:val="center"/>
            <w:shd w:fill="F3F6FA" w:val="clear"/>
          </w:tcPr>
          <w:p>
            <w:pPr>
              <w:spacing w:before="0" w:after="40" w:line="276" w:lineRule="auto"/>
              <w:jc w:val="left"/>
            </w:pPr>
            <w:r>
              <w:rPr>
                <w:rFonts w:ascii="Arial" w:hAnsi="Arial"/>
                <w:b w:val="0"/>
                <w:color w:val="000000"/>
                <w:sz w:val="24"/>
              </w:rPr>
              <w:t>monat_idx, arbeitstage, feiertage_im_monat, heizgradtage</w:t>
            </w:r>
          </w:p>
        </w:tc>
        <w:tc>
          <w:tcPr>
            <w:tcW w:type="dxa" w:w="1361"/>
            <w:vAlign w:val="center"/>
            <w:shd w:fill="F3F6FA" w:val="clear"/>
          </w:tcPr>
          <w:p>
            <w:pPr>
              <w:spacing w:before="0" w:after="40" w:line="276" w:lineRule="auto"/>
              <w:jc w:val="left"/>
            </w:pPr>
            <w:r>
              <w:rPr>
                <w:rFonts w:ascii="Arial" w:hAnsi="Arial"/>
                <w:b w:val="0"/>
                <w:color w:val="000000"/>
                <w:sz w:val="24"/>
              </w:rPr>
              <w:t>Ganzzahl, Zahl</w:t>
            </w:r>
          </w:p>
        </w:tc>
        <w:tc>
          <w:tcPr>
            <w:tcW w:type="dxa" w:w="2948"/>
            <w:vAlign w:val="center"/>
            <w:shd w:fill="F3F6FA" w:val="clear"/>
          </w:tcPr>
          <w:p>
            <w:pPr>
              <w:spacing w:before="0" w:after="40" w:line="276" w:lineRule="auto"/>
              <w:jc w:val="left"/>
            </w:pPr>
            <w:r>
              <w:rPr>
                <w:rFonts w:ascii="Arial" w:hAnsi="Arial"/>
                <w:b w:val="0"/>
                <w:color w:val="000000"/>
                <w:sz w:val="24"/>
              </w:rPr>
              <w:t>Zum Prognosezeitpunkt bekannte Saison- und Wettermerkmale</w:t>
            </w:r>
          </w:p>
        </w:tc>
      </w:tr>
      <w:tr>
        <w:trPr>
          <w:cantSplit w:val="true"/>
        </w:trPr>
        <w:tc>
          <w:tcPr>
            <w:tcW w:type="dxa" w:w="1928"/>
            <w:vAlign w:val="center"/>
            <w:shd w:fill="FFFFFF" w:val="clear"/>
          </w:tcPr>
          <w:p>
            <w:pPr>
              <w:spacing w:before="0" w:after="40" w:line="276" w:lineRule="auto"/>
              <w:jc w:val="left"/>
            </w:pPr>
            <w:r>
              <w:rPr>
                <w:rFonts w:ascii="Arial" w:hAnsi="Arial"/>
                <w:b w:val="0"/>
                <w:color w:val="000000"/>
                <w:sz w:val="24"/>
              </w:rPr>
              <w:t>Planung</w:t>
            </w:r>
          </w:p>
        </w:tc>
        <w:tc>
          <w:tcPr>
            <w:tcW w:type="dxa" w:w="2835"/>
            <w:vAlign w:val="center"/>
            <w:shd w:fill="FFFFFF" w:val="clear"/>
          </w:tcPr>
          <w:p>
            <w:pPr>
              <w:spacing w:before="0" w:after="40" w:line="276" w:lineRule="auto"/>
              <w:jc w:val="left"/>
            </w:pPr>
            <w:r>
              <w:rPr>
                <w:rFonts w:ascii="Arial" w:hAnsi="Arial"/>
                <w:b w:val="0"/>
                <w:color w:val="000000"/>
                <w:sz w:val="24"/>
              </w:rPr>
              <w:t>produktionsplan_index, wartung_aktiv</w:t>
            </w:r>
          </w:p>
        </w:tc>
        <w:tc>
          <w:tcPr>
            <w:tcW w:type="dxa" w:w="1361"/>
            <w:vAlign w:val="center"/>
            <w:shd w:fill="FFFFFF" w:val="clear"/>
          </w:tcPr>
          <w:p>
            <w:pPr>
              <w:spacing w:before="0" w:after="40" w:line="276" w:lineRule="auto"/>
              <w:jc w:val="left"/>
            </w:pPr>
            <w:r>
              <w:rPr>
                <w:rFonts w:ascii="Arial" w:hAnsi="Arial"/>
                <w:b w:val="0"/>
                <w:color w:val="000000"/>
                <w:sz w:val="24"/>
              </w:rPr>
              <w:t>Zahl, 0/1</w:t>
            </w:r>
          </w:p>
        </w:tc>
        <w:tc>
          <w:tcPr>
            <w:tcW w:type="dxa" w:w="2948"/>
            <w:vAlign w:val="center"/>
            <w:shd w:fill="FFFFFF" w:val="clear"/>
          </w:tcPr>
          <w:p>
            <w:pPr>
              <w:spacing w:before="0" w:after="40" w:line="276" w:lineRule="auto"/>
              <w:jc w:val="left"/>
            </w:pPr>
            <w:r>
              <w:rPr>
                <w:rFonts w:ascii="Arial" w:hAnsi="Arial"/>
                <w:b w:val="0"/>
                <w:color w:val="000000"/>
                <w:sz w:val="24"/>
              </w:rPr>
              <w:t>Geplante Produktion und Wartung; fehlende Werte foldweise imputiert</w:t>
            </w:r>
          </w:p>
        </w:tc>
      </w:tr>
      <w:tr>
        <w:trPr>
          <w:cantSplit w:val="true"/>
        </w:trPr>
        <w:tc>
          <w:tcPr>
            <w:tcW w:type="dxa" w:w="1928"/>
            <w:vAlign w:val="center"/>
            <w:shd w:fill="F3F6FA" w:val="clear"/>
          </w:tcPr>
          <w:p>
            <w:pPr>
              <w:spacing w:before="0" w:after="40" w:line="276" w:lineRule="auto"/>
              <w:jc w:val="left"/>
            </w:pPr>
            <w:r>
              <w:rPr>
                <w:rFonts w:ascii="Arial" w:hAnsi="Arial"/>
                <w:b w:val="0"/>
                <w:color w:val="000000"/>
                <w:sz w:val="24"/>
              </w:rPr>
              <w:t>Verbrauchshistorie</w:t>
            </w:r>
          </w:p>
        </w:tc>
        <w:tc>
          <w:tcPr>
            <w:tcW w:type="dxa" w:w="2835"/>
            <w:vAlign w:val="center"/>
            <w:shd w:fill="F3F6FA" w:val="clear"/>
          </w:tcPr>
          <w:p>
            <w:pPr>
              <w:spacing w:before="0" w:after="40" w:line="276" w:lineRule="auto"/>
              <w:jc w:val="left"/>
            </w:pPr>
            <w:r>
              <w:rPr>
                <w:rFonts w:ascii="Arial" w:hAnsi="Arial"/>
                <w:b w:val="0"/>
                <w:color w:val="000000"/>
                <w:sz w:val="24"/>
              </w:rPr>
              <w:t>vormonat_vls, letzte_3_monate_vls</w:t>
            </w:r>
          </w:p>
        </w:tc>
        <w:tc>
          <w:tcPr>
            <w:tcW w:type="dxa" w:w="1361"/>
            <w:vAlign w:val="center"/>
            <w:shd w:fill="F3F6FA" w:val="clear"/>
          </w:tcPr>
          <w:p>
            <w:pPr>
              <w:spacing w:before="0" w:after="40" w:line="276" w:lineRule="auto"/>
              <w:jc w:val="left"/>
            </w:pPr>
            <w:r>
              <w:rPr>
                <w:rFonts w:ascii="Arial" w:hAnsi="Arial"/>
                <w:b w:val="0"/>
                <w:color w:val="000000"/>
                <w:sz w:val="24"/>
              </w:rPr>
              <w:t>Zahl</w:t>
            </w:r>
          </w:p>
        </w:tc>
        <w:tc>
          <w:tcPr>
            <w:tcW w:type="dxa" w:w="2948"/>
            <w:vAlign w:val="center"/>
            <w:shd w:fill="F3F6FA" w:val="clear"/>
          </w:tcPr>
          <w:p>
            <w:pPr>
              <w:spacing w:before="0" w:after="40" w:line="276" w:lineRule="auto"/>
              <w:jc w:val="left"/>
            </w:pPr>
            <w:r>
              <w:rPr>
                <w:rFonts w:ascii="Arial" w:hAnsi="Arial"/>
                <w:b w:val="0"/>
                <w:color w:val="000000"/>
                <w:sz w:val="24"/>
              </w:rPr>
              <w:t>Je Zähler mit shift(1) aus höchstens drei abgeschlossenen Monaten</w:t>
            </w:r>
          </w:p>
        </w:tc>
      </w:tr>
      <w:tr>
        <w:trPr>
          <w:cantSplit w:val="true"/>
        </w:trPr>
        <w:tc>
          <w:tcPr>
            <w:tcW w:type="dxa" w:w="1928"/>
            <w:vAlign w:val="center"/>
            <w:shd w:fill="FFFFFF" w:val="clear"/>
          </w:tcPr>
          <w:p>
            <w:pPr>
              <w:spacing w:before="0" w:after="40" w:line="276" w:lineRule="auto"/>
              <w:jc w:val="left"/>
            </w:pPr>
            <w:r>
              <w:rPr>
                <w:rFonts w:ascii="Arial" w:hAnsi="Arial"/>
                <w:b w:val="0"/>
                <w:color w:val="000000"/>
                <w:sz w:val="24"/>
              </w:rPr>
              <w:t>Referenz, nicht im Hauptmodell</w:t>
            </w:r>
          </w:p>
        </w:tc>
        <w:tc>
          <w:tcPr>
            <w:tcW w:type="dxa" w:w="2835"/>
            <w:vAlign w:val="center"/>
            <w:shd w:fill="FFFFFF" w:val="clear"/>
          </w:tcPr>
          <w:p>
            <w:pPr>
              <w:spacing w:before="0" w:after="40" w:line="276" w:lineRule="auto"/>
              <w:jc w:val="left"/>
            </w:pPr>
            <w:r>
              <w:rPr>
                <w:rFonts w:ascii="Arial" w:hAnsi="Arial"/>
                <w:b w:val="0"/>
                <w:color w:val="000000"/>
                <w:sz w:val="24"/>
              </w:rPr>
              <w:t>vorjahr_vls, anomalie</w:t>
            </w:r>
          </w:p>
        </w:tc>
        <w:tc>
          <w:tcPr>
            <w:tcW w:type="dxa" w:w="1361"/>
            <w:vAlign w:val="center"/>
            <w:shd w:fill="FFFFFF" w:val="clear"/>
          </w:tcPr>
          <w:p>
            <w:pPr>
              <w:spacing w:before="0" w:after="40" w:line="276" w:lineRule="auto"/>
              <w:jc w:val="left"/>
            </w:pPr>
            <w:r>
              <w:rPr>
                <w:rFonts w:ascii="Arial" w:hAnsi="Arial"/>
                <w:b w:val="0"/>
                <w:color w:val="000000"/>
                <w:sz w:val="24"/>
              </w:rPr>
              <w:t>Zahl, 0/1</w:t>
            </w:r>
          </w:p>
        </w:tc>
        <w:tc>
          <w:tcPr>
            <w:tcW w:type="dxa" w:w="2948"/>
            <w:vAlign w:val="center"/>
            <w:shd w:fill="FFFFFF" w:val="clear"/>
          </w:tcPr>
          <w:p>
            <w:pPr>
              <w:spacing w:before="0" w:after="40" w:line="276" w:lineRule="auto"/>
              <w:jc w:val="left"/>
            </w:pPr>
            <w:r>
              <w:rPr>
                <w:rFonts w:ascii="Arial" w:hAnsi="Arial"/>
                <w:b w:val="0"/>
                <w:color w:val="000000"/>
                <w:sz w:val="24"/>
              </w:rPr>
              <w:t>Vorjahr wegen fehlender 2023-Historie; EDA-Regel ohne bestätigte Labels</w:t>
            </w:r>
          </w:p>
        </w:tc>
      </w:tr>
      <w:tr>
        <w:trPr>
          <w:cantSplit w:val="true"/>
        </w:trPr>
        <w:tc>
          <w:tcPr>
            <w:tcW w:type="dxa" w:w="1928"/>
            <w:vAlign w:val="center"/>
            <w:shd w:fill="F3F6FA" w:val="clear"/>
          </w:tcPr>
          <w:p>
            <w:pPr>
              <w:spacing w:before="0" w:after="40" w:line="276" w:lineRule="auto"/>
              <w:jc w:val="left"/>
            </w:pPr>
            <w:r>
              <w:rPr>
                <w:rFonts w:ascii="Arial" w:hAnsi="Arial"/>
                <w:b w:val="0"/>
                <w:color w:val="000000"/>
                <w:sz w:val="24"/>
              </w:rPr>
              <w:t>Datenqualität</w:t>
            </w:r>
          </w:p>
        </w:tc>
        <w:tc>
          <w:tcPr>
            <w:tcW w:type="dxa" w:w="2835"/>
            <w:vAlign w:val="center"/>
            <w:shd w:fill="F3F6FA" w:val="clear"/>
          </w:tcPr>
          <w:p>
            <w:pPr>
              <w:spacing w:before="0" w:after="40" w:line="276" w:lineRule="auto"/>
              <w:jc w:val="left"/>
            </w:pPr>
            <w:r>
              <w:rPr>
                <w:rFonts w:ascii="Arial" w:hAnsi="Arial"/>
                <w:b w:val="0"/>
                <w:color w:val="000000"/>
                <w:sz w:val="24"/>
              </w:rPr>
              <w:t>unmoeglich, ziel_rekonstruiert</w:t>
            </w:r>
          </w:p>
        </w:tc>
        <w:tc>
          <w:tcPr>
            <w:tcW w:type="dxa" w:w="1361"/>
            <w:vAlign w:val="center"/>
            <w:shd w:fill="F3F6FA" w:val="clear"/>
          </w:tcPr>
          <w:p>
            <w:pPr>
              <w:spacing w:before="0" w:after="40" w:line="276" w:lineRule="auto"/>
              <w:jc w:val="left"/>
            </w:pPr>
            <w:r>
              <w:rPr>
                <w:rFonts w:ascii="Arial" w:hAnsi="Arial"/>
                <w:b w:val="0"/>
                <w:color w:val="000000"/>
                <w:sz w:val="24"/>
              </w:rPr>
              <w:t>0/1</w:t>
            </w:r>
          </w:p>
        </w:tc>
        <w:tc>
          <w:tcPr>
            <w:tcW w:type="dxa" w:w="2948"/>
            <w:vAlign w:val="center"/>
            <w:shd w:fill="F3F6FA" w:val="clear"/>
          </w:tcPr>
          <w:p>
            <w:pPr>
              <w:spacing w:before="0" w:after="40" w:line="276" w:lineRule="auto"/>
              <w:jc w:val="left"/>
            </w:pPr>
            <w:r>
              <w:rPr>
                <w:rFonts w:ascii="Arial" w:hAnsi="Arial"/>
                <w:b w:val="0"/>
                <w:color w:val="000000"/>
                <w:sz w:val="24"/>
              </w:rPr>
              <w:t>Steuert Ausschluss von Mess- beziehungsweise Zielwerten</w:t>
            </w:r>
          </w:p>
        </w:tc>
      </w:tr>
    </w:tbl>
    <w:p w:rsidR="00000000" w:rsidDel="00000000" w:rsidP="00000000" w:rsidRDefault="00000000" w:rsidRPr="00000000" w14:paraId="000000F2">
      <w:pPr>
        <w:pStyle w:val="Heading2"/>
        <w:rPr/>
      </w:pPr>
      <w:r>
        <w:t>4.3   Modellierung und Ergebnisse</w:t>
      </w:r>
    </w:p>
    <w:p>
      <w:pPr>
        <w:pStyle w:val="Heading3"/>
        <w:jc w:val="left"/>
      </w:pPr>
      <w:r>
        <w:t>4.3.1   Modellwahl 2024</w:t>
      </w:r>
    </w:p>
    <w:p>
      <w:pPr>
        <w:jc w:val="left"/>
      </w:pPr>
      <w:r>
        <w:t>Der Random Forest erzielte den niedrigsten mittleren RMSE in den drei zeitlichen Prüfungen und wurde deshalb anhand der vorab festgelegten Hauptmetrik ausgewählt. Sein Vorteil gegenüber der linearen Regression beträgt 2,7 Prozent und wird nicht als großer Leistungssprung interpretiert. Die lineare Regression bleibt eine nachvollziehbare Referenz und ein vertretbarer Fallback.</w:t>
      </w:r>
    </w:p>
    <w:tbl>
      <w:tblPr>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68"/>
        <w:gridCol w:w="2268"/>
        <w:gridCol w:w="2268"/>
        <w:gridCol w:w="2268"/>
      </w:tblGrid>
      <w:tr>
        <w:trPr>
          <w:tblHeader w:val="true"/>
          <w:cantSplit w:val="true"/>
        </w:trPr>
        <w:tc>
          <w:tcPr>
            <w:tcW w:type="dxa" w:w="3628"/>
            <w:vAlign w:val="center"/>
            <w:shd w:fill="17365D" w:val="clear"/>
          </w:tcPr>
          <w:p>
            <w:pPr>
              <w:spacing w:before="0" w:after="40" w:line="276" w:lineRule="auto"/>
              <w:jc w:val="left"/>
            </w:pPr>
            <w:r>
              <w:rPr>
                <w:rFonts w:ascii="Arial" w:hAnsi="Arial"/>
                <w:b/>
                <w:color w:val="FFFFFF"/>
                <w:sz w:val="24"/>
              </w:rPr>
              <w:t>Kandidat</w:t>
            </w:r>
          </w:p>
        </w:tc>
        <w:tc>
          <w:tcPr>
            <w:tcW w:type="dxa" w:w="1814"/>
            <w:vAlign w:val="center"/>
            <w:shd w:fill="17365D" w:val="clear"/>
          </w:tcPr>
          <w:p>
            <w:pPr>
              <w:spacing w:before="0" w:after="40" w:line="276" w:lineRule="auto"/>
              <w:jc w:val="left"/>
            </w:pPr>
            <w:r>
              <w:rPr>
                <w:rFonts w:ascii="Arial" w:hAnsi="Arial"/>
                <w:b/>
                <w:color w:val="FFFFFF"/>
                <w:sz w:val="24"/>
              </w:rPr>
              <w:t>CV-RMSE 2024</w:t>
            </w:r>
          </w:p>
        </w:tc>
        <w:tc>
          <w:tcPr>
            <w:tcW w:type="dxa" w:w="1814"/>
            <w:vAlign w:val="center"/>
            <w:shd w:fill="17365D" w:val="clear"/>
          </w:tcPr>
          <w:p>
            <w:pPr>
              <w:spacing w:before="0" w:after="40" w:line="276" w:lineRule="auto"/>
              <w:jc w:val="left"/>
            </w:pPr>
            <w:r>
              <w:rPr>
                <w:rFonts w:ascii="Arial" w:hAnsi="Arial"/>
                <w:b/>
                <w:color w:val="FFFFFF"/>
                <w:sz w:val="24"/>
              </w:rPr>
              <w:t>Fold-Streuung</w:t>
            </w:r>
          </w:p>
        </w:tc>
        <w:tc>
          <w:tcPr>
            <w:tcW w:type="dxa" w:w="1814"/>
            <w:vAlign w:val="center"/>
            <w:shd w:fill="17365D" w:val="clear"/>
          </w:tcPr>
          <w:p>
            <w:pPr>
              <w:spacing w:before="0" w:after="40" w:line="276" w:lineRule="auto"/>
              <w:jc w:val="left"/>
            </w:pPr>
            <w:r>
              <w:rPr>
                <w:rFonts w:ascii="Arial" w:hAnsi="Arial"/>
                <w:b/>
                <w:color w:val="FFFFFF"/>
                <w:sz w:val="24"/>
              </w:rPr>
              <w:t>RMSE 2025</w:t>
            </w:r>
          </w:p>
        </w:tc>
      </w:tr>
      <w:tr>
        <w:trPr>
          <w:cantSplit w:val="true"/>
        </w:trPr>
        <w:tc>
          <w:tcPr>
            <w:tcW w:type="dxa" w:w="3628"/>
            <w:vAlign w:val="center"/>
            <w:shd w:fill="FFFFFF" w:val="clear"/>
          </w:tcPr>
          <w:p>
            <w:pPr>
              <w:spacing w:before="0" w:after="40" w:line="276" w:lineRule="auto"/>
              <w:jc w:val="left"/>
            </w:pPr>
            <w:r>
              <w:rPr>
                <w:rFonts w:ascii="Arial" w:hAnsi="Arial"/>
                <w:b w:val="0"/>
                <w:color w:val="000000"/>
                <w:sz w:val="24"/>
              </w:rPr>
              <w:t>Random Forest auf VLS</w:t>
            </w:r>
          </w:p>
        </w:tc>
        <w:tc>
          <w:tcPr>
            <w:tcW w:type="dxa" w:w="1814"/>
            <w:vAlign w:val="center"/>
            <w:shd w:fill="FFFFFF" w:val="clear"/>
          </w:tcPr>
          <w:p>
            <w:pPr>
              <w:spacing w:before="0" w:after="40" w:line="276" w:lineRule="auto"/>
              <w:jc w:val="left"/>
            </w:pPr>
            <w:r>
              <w:rPr>
                <w:rFonts w:ascii="Arial" w:hAnsi="Arial"/>
                <w:b w:val="0"/>
                <w:color w:val="000000"/>
                <w:sz w:val="24"/>
              </w:rPr>
              <w:t>13.272 kWh</w:t>
            </w:r>
          </w:p>
        </w:tc>
        <w:tc>
          <w:tcPr>
            <w:tcW w:type="dxa" w:w="1814"/>
            <w:vAlign w:val="center"/>
            <w:shd w:fill="FFFFFF" w:val="clear"/>
          </w:tcPr>
          <w:p>
            <w:pPr>
              <w:spacing w:before="0" w:after="40" w:line="276" w:lineRule="auto"/>
              <w:jc w:val="left"/>
            </w:pPr>
            <w:r>
              <w:rPr>
                <w:rFonts w:ascii="Arial" w:hAnsi="Arial"/>
                <w:b w:val="0"/>
                <w:color w:val="000000"/>
                <w:sz w:val="24"/>
              </w:rPr>
              <w:t>3.843 kWh</w:t>
            </w:r>
          </w:p>
        </w:tc>
        <w:tc>
          <w:tcPr>
            <w:tcW w:type="dxa" w:w="1814"/>
            <w:vAlign w:val="center"/>
            <w:shd w:fill="FFFFFF" w:val="clear"/>
          </w:tcPr>
          <w:p>
            <w:pPr>
              <w:spacing w:before="0" w:after="40" w:line="276" w:lineRule="auto"/>
              <w:jc w:val="left"/>
            </w:pPr>
            <w:r>
              <w:rPr>
                <w:rFonts w:ascii="Arial" w:hAnsi="Arial"/>
                <w:b w:val="0"/>
                <w:color w:val="000000"/>
                <w:sz w:val="24"/>
              </w:rPr>
              <w:t>9.188 kWh</w:t>
            </w:r>
          </w:p>
        </w:tc>
      </w:tr>
      <w:tr>
        <w:trPr>
          <w:cantSplit w:val="true"/>
        </w:trPr>
        <w:tc>
          <w:tcPr>
            <w:tcW w:type="dxa" w:w="3628"/>
            <w:vAlign w:val="center"/>
            <w:shd w:fill="F3F6FA" w:val="clear"/>
          </w:tcPr>
          <w:p>
            <w:pPr>
              <w:spacing w:before="0" w:after="40" w:line="276" w:lineRule="auto"/>
              <w:jc w:val="left"/>
            </w:pPr>
            <w:r>
              <w:rPr>
                <w:rFonts w:ascii="Arial" w:hAnsi="Arial"/>
                <w:b w:val="0"/>
                <w:color w:val="000000"/>
                <w:sz w:val="24"/>
              </w:rPr>
              <w:t>Lineare Regression auf VLS</w:t>
            </w:r>
          </w:p>
        </w:tc>
        <w:tc>
          <w:tcPr>
            <w:tcW w:type="dxa" w:w="1814"/>
            <w:vAlign w:val="center"/>
            <w:shd w:fill="F3F6FA" w:val="clear"/>
          </w:tcPr>
          <w:p>
            <w:pPr>
              <w:spacing w:before="0" w:after="40" w:line="276" w:lineRule="auto"/>
              <w:jc w:val="left"/>
            </w:pPr>
            <w:r>
              <w:rPr>
                <w:rFonts w:ascii="Arial" w:hAnsi="Arial"/>
                <w:b w:val="0"/>
                <w:color w:val="000000"/>
                <w:sz w:val="24"/>
              </w:rPr>
              <w:t>13.643 kWh</w:t>
            </w:r>
          </w:p>
        </w:tc>
        <w:tc>
          <w:tcPr>
            <w:tcW w:type="dxa" w:w="1814"/>
            <w:vAlign w:val="center"/>
            <w:shd w:fill="F3F6FA" w:val="clear"/>
          </w:tcPr>
          <w:p>
            <w:pPr>
              <w:spacing w:before="0" w:after="40" w:line="276" w:lineRule="auto"/>
              <w:jc w:val="left"/>
            </w:pPr>
            <w:r>
              <w:rPr>
                <w:rFonts w:ascii="Arial" w:hAnsi="Arial"/>
                <w:b w:val="0"/>
                <w:color w:val="000000"/>
                <w:sz w:val="24"/>
              </w:rPr>
              <w:t>3.472 kWh</w:t>
            </w:r>
          </w:p>
        </w:tc>
        <w:tc>
          <w:tcPr>
            <w:tcW w:type="dxa" w:w="1814"/>
            <w:vAlign w:val="center"/>
            <w:shd w:fill="F3F6FA" w:val="clear"/>
          </w:tcPr>
          <w:p>
            <w:pPr>
              <w:spacing w:before="0" w:after="40" w:line="276" w:lineRule="auto"/>
              <w:jc w:val="left"/>
            </w:pPr>
            <w:r>
              <w:rPr>
                <w:rFonts w:ascii="Arial" w:hAnsi="Arial"/>
                <w:b w:val="0"/>
                <w:color w:val="000000"/>
                <w:sz w:val="24"/>
              </w:rPr>
              <w:t>9.414 kWh</w:t>
            </w:r>
          </w:p>
        </w:tc>
      </w:tr>
      <w:tr>
        <w:trPr>
          <w:cantSplit w:val="true"/>
        </w:trPr>
        <w:tc>
          <w:tcPr>
            <w:tcW w:type="dxa" w:w="3628"/>
            <w:vAlign w:val="center"/>
            <w:shd w:fill="FFFFFF" w:val="clear"/>
          </w:tcPr>
          <w:p>
            <w:pPr>
              <w:spacing w:before="0" w:after="40" w:line="276" w:lineRule="auto"/>
              <w:jc w:val="left"/>
            </w:pPr>
            <w:r>
              <w:rPr>
                <w:rFonts w:ascii="Arial" w:hAnsi="Arial"/>
                <w:b w:val="0"/>
                <w:color w:val="000000"/>
                <w:sz w:val="24"/>
              </w:rPr>
              <w:t>Mittel aus bis zu drei Vormonaten</w:t>
            </w:r>
          </w:p>
        </w:tc>
        <w:tc>
          <w:tcPr>
            <w:tcW w:type="dxa" w:w="1814"/>
            <w:vAlign w:val="center"/>
            <w:shd w:fill="FFFFFF" w:val="clear"/>
          </w:tcPr>
          <w:p>
            <w:pPr>
              <w:spacing w:before="0" w:after="40" w:line="276" w:lineRule="auto"/>
              <w:jc w:val="left"/>
            </w:pPr>
            <w:r>
              <w:rPr>
                <w:rFonts w:ascii="Arial" w:hAnsi="Arial"/>
                <w:b w:val="0"/>
                <w:color w:val="000000"/>
                <w:sz w:val="24"/>
              </w:rPr>
              <w:t>15.483 kWh</w:t>
            </w:r>
          </w:p>
        </w:tc>
        <w:tc>
          <w:tcPr>
            <w:tcW w:type="dxa" w:w="1814"/>
            <w:vAlign w:val="center"/>
            <w:shd w:fill="FFFFFF" w:val="clear"/>
          </w:tcPr>
          <w:p>
            <w:pPr>
              <w:spacing w:before="0" w:after="40" w:line="276" w:lineRule="auto"/>
              <w:jc w:val="left"/>
            </w:pPr>
            <w:r>
              <w:rPr>
                <w:rFonts w:ascii="Arial" w:hAnsi="Arial"/>
                <w:b w:val="0"/>
                <w:color w:val="000000"/>
                <w:sz w:val="24"/>
              </w:rPr>
              <w:t>3.070 kWh</w:t>
            </w:r>
          </w:p>
        </w:tc>
        <w:tc>
          <w:tcPr>
            <w:tcW w:type="dxa" w:w="1814"/>
            <w:vAlign w:val="center"/>
            <w:shd w:fill="FFFFFF" w:val="clear"/>
          </w:tcPr>
          <w:p>
            <w:pPr>
              <w:spacing w:before="0" w:after="40" w:line="276" w:lineRule="auto"/>
              <w:jc w:val="left"/>
            </w:pPr>
            <w:r>
              <w:rPr>
                <w:rFonts w:ascii="Arial" w:hAnsi="Arial"/>
                <w:b w:val="0"/>
                <w:color w:val="000000"/>
                <w:sz w:val="24"/>
              </w:rPr>
              <w:t>10.922 kWh</w:t>
            </w:r>
          </w:p>
        </w:tc>
      </w:tr>
      <w:tr>
        <w:trPr>
          <w:cantSplit w:val="true"/>
        </w:trPr>
        <w:tc>
          <w:tcPr>
            <w:tcW w:type="dxa" w:w="3628"/>
            <w:vAlign w:val="center"/>
            <w:shd w:fill="F3F6FA" w:val="clear"/>
          </w:tcPr>
          <w:p>
            <w:pPr>
              <w:spacing w:before="0" w:after="40" w:line="276" w:lineRule="auto"/>
              <w:jc w:val="left"/>
            </w:pPr>
            <w:r>
              <w:rPr>
                <w:rFonts w:ascii="Arial" w:hAnsi="Arial"/>
                <w:b w:val="0"/>
                <w:color w:val="000000"/>
                <w:sz w:val="24"/>
              </w:rPr>
              <w:t>Vormonat</w:t>
            </w:r>
          </w:p>
        </w:tc>
        <w:tc>
          <w:tcPr>
            <w:tcW w:type="dxa" w:w="1814"/>
            <w:vAlign w:val="center"/>
            <w:shd w:fill="F3F6FA" w:val="clear"/>
          </w:tcPr>
          <w:p>
            <w:pPr>
              <w:spacing w:before="0" w:after="40" w:line="276" w:lineRule="auto"/>
              <w:jc w:val="left"/>
            </w:pPr>
            <w:r>
              <w:rPr>
                <w:rFonts w:ascii="Arial" w:hAnsi="Arial"/>
                <w:b w:val="0"/>
                <w:color w:val="000000"/>
                <w:sz w:val="24"/>
              </w:rPr>
              <w:t>18.460 kWh</w:t>
            </w:r>
          </w:p>
        </w:tc>
        <w:tc>
          <w:tcPr>
            <w:tcW w:type="dxa" w:w="1814"/>
            <w:vAlign w:val="center"/>
            <w:shd w:fill="F3F6FA" w:val="clear"/>
          </w:tcPr>
          <w:p>
            <w:pPr>
              <w:spacing w:before="0" w:after="40" w:line="276" w:lineRule="auto"/>
              <w:jc w:val="left"/>
            </w:pPr>
            <w:r>
              <w:rPr>
                <w:rFonts w:ascii="Arial" w:hAnsi="Arial"/>
                <w:b w:val="0"/>
                <w:color w:val="000000"/>
                <w:sz w:val="24"/>
              </w:rPr>
              <w:t>6.366 kWh</w:t>
            </w:r>
          </w:p>
        </w:tc>
        <w:tc>
          <w:tcPr>
            <w:tcW w:type="dxa" w:w="1814"/>
            <w:vAlign w:val="center"/>
            <w:shd w:fill="F3F6FA" w:val="clear"/>
          </w:tcPr>
          <w:p>
            <w:pPr>
              <w:spacing w:before="0" w:after="40" w:line="276" w:lineRule="auto"/>
              <w:jc w:val="left"/>
            </w:pPr>
            <w:r>
              <w:rPr>
                <w:rFonts w:ascii="Arial" w:hAnsi="Arial"/>
                <w:b w:val="0"/>
                <w:color w:val="000000"/>
                <w:sz w:val="24"/>
              </w:rPr>
              <w:t>12.386 kWh</w:t>
            </w:r>
          </w:p>
        </w:tc>
      </w:tr>
    </w:tbl>
    <w:p>
      <w:r>
        <w:t>Die Fold-Streuung ist die Standardabweichung der drei zeitlichen RMSE-Werte. Sie ist weder ein Konfidenzintervall noch die Unsicherheit einer einzelnen Prognose. Ihre Höhe zeigt, dass die Modellgüte zwischen Zeitfenstern schwankt und nicht aus einem einzelnen Monat abgeleitet werden sollte.</w:t>
      </w:r>
    </w:p>
    <w:p>
      <w:pPr>
        <w:pStyle w:val="Heading3"/>
        <w:jc w:val="left"/>
      </w:pPr>
      <w:r>
        <w:t>4.3.2   Retrospektiver Benchmark 2025</w:t>
      </w:r>
    </w:p>
    <w:p>
      <w:pPr>
        <w:jc w:val="left"/>
      </w:pPr>
      <w:r>
        <w:t>Das ausgewählte Modell erreichte auf 8.398 bewertbaren Zähler-Monaten einen RMSE von 9.188 kWh und einen MAE von 3.725 kWh. Gegenüber der besten einfachen Baseline, dem Mittel aus bis zu drei Vormonaten, reduzierte sich der RMSE um 15,9 Prozent. Die Vormonatsbaseline konnte wegen zehn fehlender Vergleichswerte nur auf 8.388 Fällen bewertet werden; die ausgewiesene Verbesserung bezieht sich deshalb auf die Baseline mit vergleichbarer Fallbasis.</w:t>
      </w:r>
    </w:p>
    <w:p>
      <w:pPr>
        <w:jc w:val="left"/>
      </w:pPr>
      <w:r>
        <w:t>In einem ergänzenden Methodenvergleich erreichte ein direkt auf kWh trainierter Random Forest 9.800 kWh RMSE, während der VLS-Ansatz 9.188 kWh erreichte. Die Verringerung um 6,2 Prozent begründet die interne Zielvariable für diesen Datensatz und diesen Versuchsaufbau. Sie beweist keine allgemeine Überlegenheit von Vollaststunden.</w:t>
      </w:r>
    </w:p>
    <w:p>
      <w:pPr>
        <w:pStyle w:val="Heading3"/>
        <w:jc w:val="left"/>
      </w:pPr>
      <w:r>
        <w:t>4.3.3   Einfluss der Merkmalsgruppen</w:t>
      </w:r>
    </w:p>
    <w:p>
      <w:pPr>
        <w:jc w:val="left"/>
      </w:pPr>
      <w:r>
        <w:t>Die gruppierte Permutation Importance misst, wie stark der RMSE steigt, wenn die Werte einer Informationsgruppe zufällig vertauscht werden. Die Verbrauchshistorie besitzt mit einem RMSE-Anstieg von rund 7.349 kWh den größten Prognosebeitrag. Produktionsplan und geplante Wartung folgen mit rund 717 beziehungsweise 578 kWh. Kalender, Wetter und Jahreszeit liefern kleinere zusätzliche Beiträge; der Kundentyp liegt mit rund 5 kWh nahe null.</w:t>
      </w:r>
    </w:p>
    <w:p>
      <w:pPr>
        <w:jc w:val="left"/>
      </w:pPr>
      <w:r>
        <w:t>Die Auswertung beschreibt den Prognosenutzen innerhalb des Modells, aber keine Kausalität. Korrelierte Merkmale können sich Bedeutung teilen. Die Vertragsleistung wurde nicht in diese Rangfolge aufgenommen, weil sie zugleich Modellmerkmal und struktureller Faktor der Rückrechnung in kWh ist; ein zufälliges Vertauschen würde beide Rollen vermischen.</w:t>
      </w:r>
    </w:p>
    <w:p>
      <w:pPr>
        <w:pStyle w:val="Heading3"/>
        <w:jc w:val="left"/>
      </w:pPr>
      <w:r>
        <w:t>4.3.4   Residuenbasierte Prüfhinweise</w:t>
      </w:r>
    </w:p>
    <w:p>
      <w:pPr>
        <w:jc w:val="left"/>
      </w:pPr>
      <w:r>
        <w:t>Nach Eingang des Istwerts wird das Residuum als Differenz zwischen tatsächlichen und prognostizierten Vollaststunden berechnet. Für die Kalibrierung wurden 1.397 absolute Prognosefehler aus November und Dezember 2024 aufsteigend sortiert. Das 99. Perzentil liegt bei 144,4 VLS-Stunden. Es bezeichnet eine Position in dieser Fehlerverteilung und weder einen Anteil der Gesamtleistung noch eine Defektwahrscheinlichkeit.</w:t>
      </w:r>
    </w:p>
    <w:p>
      <w:pPr>
        <w:jc w:val="left"/>
      </w:pPr>
      <w:r>
        <w:t>Ein Prüfhinweis entsteht, wenn der absolute VLS-Fehler mindestens 144,4 Stunden beträgt. Die zugehörige kWh-Grenze ist je Zähler unterschiedlich und ergibt sich aus 144,4 VLS-Stunden multipliziert mit der Vertragsleistung. Das 99. Perzentil ist eine konservative Pilotannahme mit überschaubarem Prüfvolumen, nicht ein nachgewiesener optimaler Sweet Spot.</w:t>
      </w:r>
    </w:p>
    <w:tbl>
      <w:tblPr>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68"/>
        <w:gridCol w:w="2268"/>
        <w:gridCol w:w="2268"/>
        <w:gridCol w:w="2268"/>
      </w:tblGrid>
      <w:tr>
        <w:trPr>
          <w:tblHeader w:val="true"/>
          <w:cantSplit w:val="true"/>
        </w:trPr>
        <w:tc>
          <w:tcPr>
            <w:tcW w:type="dxa" w:w="1928"/>
            <w:vAlign w:val="center"/>
            <w:shd w:fill="17365D" w:val="clear"/>
          </w:tcPr>
          <w:p>
            <w:pPr>
              <w:spacing w:before="0" w:after="40" w:line="276" w:lineRule="auto"/>
              <w:jc w:val="left"/>
            </w:pPr>
            <w:r>
              <w:rPr>
                <w:rFonts w:ascii="Arial" w:hAnsi="Arial"/>
                <w:b/>
                <w:color w:val="FFFFFF"/>
                <w:sz w:val="24"/>
              </w:rPr>
              <w:t>Perzentil</w:t>
            </w:r>
          </w:p>
        </w:tc>
        <w:tc>
          <w:tcPr>
            <w:tcW w:type="dxa" w:w="2381"/>
            <w:vAlign w:val="center"/>
            <w:shd w:fill="17365D" w:val="clear"/>
          </w:tcPr>
          <w:p>
            <w:pPr>
              <w:spacing w:before="0" w:after="40" w:line="276" w:lineRule="auto"/>
              <w:jc w:val="left"/>
            </w:pPr>
            <w:r>
              <w:rPr>
                <w:rFonts w:ascii="Arial" w:hAnsi="Arial"/>
                <w:b/>
                <w:color w:val="FFFFFF"/>
                <w:sz w:val="24"/>
              </w:rPr>
              <w:t>Schwelle</w:t>
            </w:r>
          </w:p>
        </w:tc>
        <w:tc>
          <w:tcPr>
            <w:tcW w:type="dxa" w:w="2721"/>
            <w:vAlign w:val="center"/>
            <w:shd w:fill="17365D" w:val="clear"/>
          </w:tcPr>
          <w:p>
            <w:pPr>
              <w:spacing w:before="0" w:after="40" w:line="276" w:lineRule="auto"/>
              <w:jc w:val="left"/>
            </w:pPr>
            <w:r>
              <w:rPr>
                <w:rFonts w:ascii="Arial" w:hAnsi="Arial"/>
                <w:b/>
                <w:color w:val="FFFFFF"/>
                <w:sz w:val="24"/>
              </w:rPr>
              <w:t>Prüfhinweise 2025</w:t>
            </w:r>
          </w:p>
        </w:tc>
        <w:tc>
          <w:tcPr>
            <w:tcW w:type="dxa" w:w="2041"/>
            <w:vAlign w:val="center"/>
            <w:shd w:fill="17365D" w:val="clear"/>
          </w:tcPr>
          <w:p>
            <w:pPr>
              <w:spacing w:before="0" w:after="40" w:line="276" w:lineRule="auto"/>
              <w:jc w:val="left"/>
            </w:pPr>
            <w:r>
              <w:rPr>
                <w:rFonts w:ascii="Arial" w:hAnsi="Arial"/>
                <w:b/>
                <w:color w:val="FFFFFF"/>
                <w:sz w:val="24"/>
              </w:rPr>
              <w:t>je Monat</w:t>
            </w:r>
          </w:p>
        </w:tc>
      </w:tr>
      <w:tr>
        <w:trPr>
          <w:cantSplit w:val="true"/>
        </w:trPr>
        <w:tc>
          <w:tcPr>
            <w:tcW w:type="dxa" w:w="1928"/>
            <w:vAlign w:val="center"/>
            <w:shd w:fill="FFFFFF" w:val="clear"/>
          </w:tcPr>
          <w:p>
            <w:pPr>
              <w:spacing w:before="0" w:after="40" w:line="276" w:lineRule="auto"/>
              <w:jc w:val="left"/>
            </w:pPr>
            <w:r>
              <w:rPr>
                <w:rFonts w:ascii="Arial" w:hAnsi="Arial"/>
                <w:b w:val="0"/>
                <w:color w:val="000000"/>
                <w:sz w:val="24"/>
              </w:rPr>
              <w:t>95,0 %</w:t>
            </w:r>
          </w:p>
        </w:tc>
        <w:tc>
          <w:tcPr>
            <w:tcW w:type="dxa" w:w="2381"/>
            <w:vAlign w:val="center"/>
            <w:shd w:fill="FFFFFF" w:val="clear"/>
          </w:tcPr>
          <w:p>
            <w:pPr>
              <w:spacing w:before="0" w:after="40" w:line="276" w:lineRule="auto"/>
              <w:jc w:val="left"/>
            </w:pPr>
            <w:r>
              <w:rPr>
                <w:rFonts w:ascii="Arial" w:hAnsi="Arial"/>
                <w:b w:val="0"/>
                <w:color w:val="000000"/>
                <w:sz w:val="24"/>
              </w:rPr>
              <w:t>68,0 VLS-h</w:t>
            </w:r>
          </w:p>
        </w:tc>
        <w:tc>
          <w:tcPr>
            <w:tcW w:type="dxa" w:w="2721"/>
            <w:vAlign w:val="center"/>
            <w:shd w:fill="FFFFFF" w:val="clear"/>
          </w:tcPr>
          <w:p>
            <w:pPr>
              <w:spacing w:before="0" w:after="40" w:line="276" w:lineRule="auto"/>
              <w:jc w:val="left"/>
            </w:pPr>
            <w:r>
              <w:rPr>
                <w:rFonts w:ascii="Arial" w:hAnsi="Arial"/>
                <w:b w:val="0"/>
                <w:color w:val="000000"/>
                <w:sz w:val="24"/>
              </w:rPr>
              <w:t>400</w:t>
            </w:r>
          </w:p>
        </w:tc>
        <w:tc>
          <w:tcPr>
            <w:tcW w:type="dxa" w:w="2041"/>
            <w:vAlign w:val="center"/>
            <w:shd w:fill="FFFFFF" w:val="clear"/>
          </w:tcPr>
          <w:p>
            <w:pPr>
              <w:spacing w:before="0" w:after="40" w:line="276" w:lineRule="auto"/>
              <w:jc w:val="left"/>
            </w:pPr>
            <w:r>
              <w:rPr>
                <w:rFonts w:ascii="Arial" w:hAnsi="Arial"/>
                <w:b w:val="0"/>
                <w:color w:val="000000"/>
                <w:sz w:val="24"/>
              </w:rPr>
              <w:t>33,3</w:t>
            </w:r>
          </w:p>
        </w:tc>
      </w:tr>
      <w:tr>
        <w:trPr>
          <w:cantSplit w:val="true"/>
        </w:trPr>
        <w:tc>
          <w:tcPr>
            <w:tcW w:type="dxa" w:w="1928"/>
            <w:vAlign w:val="center"/>
            <w:shd w:fill="F3F6FA" w:val="clear"/>
          </w:tcPr>
          <w:p>
            <w:pPr>
              <w:spacing w:before="0" w:after="40" w:line="276" w:lineRule="auto"/>
              <w:jc w:val="left"/>
            </w:pPr>
            <w:r>
              <w:rPr>
                <w:rFonts w:ascii="Arial" w:hAnsi="Arial"/>
                <w:b w:val="0"/>
                <w:color w:val="000000"/>
                <w:sz w:val="24"/>
              </w:rPr>
              <w:t>97,5 %</w:t>
            </w:r>
          </w:p>
        </w:tc>
        <w:tc>
          <w:tcPr>
            <w:tcW w:type="dxa" w:w="2381"/>
            <w:vAlign w:val="center"/>
            <w:shd w:fill="F3F6FA" w:val="clear"/>
          </w:tcPr>
          <w:p>
            <w:pPr>
              <w:spacing w:before="0" w:after="40" w:line="276" w:lineRule="auto"/>
              <w:jc w:val="left"/>
            </w:pPr>
            <w:r>
              <w:rPr>
                <w:rFonts w:ascii="Arial" w:hAnsi="Arial"/>
                <w:b w:val="0"/>
                <w:color w:val="000000"/>
                <w:sz w:val="24"/>
              </w:rPr>
              <w:t>82,4 VLS-h</w:t>
            </w:r>
          </w:p>
        </w:tc>
        <w:tc>
          <w:tcPr>
            <w:tcW w:type="dxa" w:w="2721"/>
            <w:vAlign w:val="center"/>
            <w:shd w:fill="F3F6FA" w:val="clear"/>
          </w:tcPr>
          <w:p>
            <w:pPr>
              <w:spacing w:before="0" w:after="40" w:line="276" w:lineRule="auto"/>
              <w:jc w:val="left"/>
            </w:pPr>
            <w:r>
              <w:rPr>
                <w:rFonts w:ascii="Arial" w:hAnsi="Arial"/>
                <w:b w:val="0"/>
                <w:color w:val="000000"/>
                <w:sz w:val="24"/>
              </w:rPr>
              <w:t>256</w:t>
            </w:r>
          </w:p>
        </w:tc>
        <w:tc>
          <w:tcPr>
            <w:tcW w:type="dxa" w:w="2041"/>
            <w:vAlign w:val="center"/>
            <w:shd w:fill="F3F6FA" w:val="clear"/>
          </w:tcPr>
          <w:p>
            <w:pPr>
              <w:spacing w:before="0" w:after="40" w:line="276" w:lineRule="auto"/>
              <w:jc w:val="left"/>
            </w:pPr>
            <w:r>
              <w:rPr>
                <w:rFonts w:ascii="Arial" w:hAnsi="Arial"/>
                <w:b w:val="0"/>
                <w:color w:val="000000"/>
                <w:sz w:val="24"/>
              </w:rPr>
              <w:t>21,3</w:t>
            </w:r>
          </w:p>
        </w:tc>
      </w:tr>
      <w:tr>
        <w:trPr>
          <w:cantSplit w:val="true"/>
        </w:trPr>
        <w:tc>
          <w:tcPr>
            <w:tcW w:type="dxa" w:w="1928"/>
            <w:vAlign w:val="center"/>
            <w:shd w:fill="FFFFFF" w:val="clear"/>
          </w:tcPr>
          <w:p>
            <w:pPr>
              <w:spacing w:before="0" w:after="40" w:line="276" w:lineRule="auto"/>
              <w:jc w:val="left"/>
            </w:pPr>
            <w:r>
              <w:rPr>
                <w:rFonts w:ascii="Arial" w:hAnsi="Arial"/>
                <w:b w:val="0"/>
                <w:color w:val="000000"/>
                <w:sz w:val="24"/>
              </w:rPr>
              <w:t>99,0 %</w:t>
            </w:r>
          </w:p>
        </w:tc>
        <w:tc>
          <w:tcPr>
            <w:tcW w:type="dxa" w:w="2381"/>
            <w:vAlign w:val="center"/>
            <w:shd w:fill="FFFFFF" w:val="clear"/>
          </w:tcPr>
          <w:p>
            <w:pPr>
              <w:spacing w:before="0" w:after="40" w:line="276" w:lineRule="auto"/>
              <w:jc w:val="left"/>
            </w:pPr>
            <w:r>
              <w:rPr>
                <w:rFonts w:ascii="Arial" w:hAnsi="Arial"/>
                <w:b w:val="0"/>
                <w:color w:val="000000"/>
                <w:sz w:val="24"/>
              </w:rPr>
              <w:t>144,4 VLS-h</w:t>
            </w:r>
          </w:p>
        </w:tc>
        <w:tc>
          <w:tcPr>
            <w:tcW w:type="dxa" w:w="2721"/>
            <w:vAlign w:val="center"/>
            <w:shd w:fill="FFFFFF" w:val="clear"/>
          </w:tcPr>
          <w:p>
            <w:pPr>
              <w:spacing w:before="0" w:after="40" w:line="276" w:lineRule="auto"/>
              <w:jc w:val="left"/>
            </w:pPr>
            <w:r>
              <w:rPr>
                <w:rFonts w:ascii="Arial" w:hAnsi="Arial"/>
                <w:b w:val="0"/>
                <w:color w:val="000000"/>
                <w:sz w:val="24"/>
              </w:rPr>
              <w:t>114</w:t>
            </w:r>
          </w:p>
        </w:tc>
        <w:tc>
          <w:tcPr>
            <w:tcW w:type="dxa" w:w="2041"/>
            <w:vAlign w:val="center"/>
            <w:shd w:fill="FFFFFF" w:val="clear"/>
          </w:tcPr>
          <w:p>
            <w:pPr>
              <w:spacing w:before="0" w:after="40" w:line="276" w:lineRule="auto"/>
              <w:jc w:val="left"/>
            </w:pPr>
            <w:r>
              <w:rPr>
                <w:rFonts w:ascii="Arial" w:hAnsi="Arial"/>
                <w:b w:val="0"/>
                <w:color w:val="000000"/>
                <w:sz w:val="24"/>
              </w:rPr>
              <w:t>9,5</w:t>
            </w:r>
          </w:p>
        </w:tc>
      </w:tr>
      <w:tr>
        <w:trPr>
          <w:cantSplit w:val="true"/>
        </w:trPr>
        <w:tc>
          <w:tcPr>
            <w:tcW w:type="dxa" w:w="1928"/>
            <w:vAlign w:val="center"/>
            <w:shd w:fill="F3F6FA" w:val="clear"/>
          </w:tcPr>
          <w:p>
            <w:pPr>
              <w:spacing w:before="0" w:after="40" w:line="276" w:lineRule="auto"/>
              <w:jc w:val="left"/>
            </w:pPr>
            <w:r>
              <w:rPr>
                <w:rFonts w:ascii="Arial" w:hAnsi="Arial"/>
                <w:b w:val="0"/>
                <w:color w:val="000000"/>
                <w:sz w:val="24"/>
              </w:rPr>
              <w:t>99,5 %</w:t>
            </w:r>
          </w:p>
        </w:tc>
        <w:tc>
          <w:tcPr>
            <w:tcW w:type="dxa" w:w="2381"/>
            <w:vAlign w:val="center"/>
            <w:shd w:fill="F3F6FA" w:val="clear"/>
          </w:tcPr>
          <w:p>
            <w:pPr>
              <w:spacing w:before="0" w:after="40" w:line="276" w:lineRule="auto"/>
              <w:jc w:val="left"/>
            </w:pPr>
            <w:r>
              <w:rPr>
                <w:rFonts w:ascii="Arial" w:hAnsi="Arial"/>
                <w:b w:val="0"/>
                <w:color w:val="000000"/>
                <w:sz w:val="24"/>
              </w:rPr>
              <w:t>196,3 VLS-h</w:t>
            </w:r>
          </w:p>
        </w:tc>
        <w:tc>
          <w:tcPr>
            <w:tcW w:type="dxa" w:w="2721"/>
            <w:vAlign w:val="center"/>
            <w:shd w:fill="F3F6FA" w:val="clear"/>
          </w:tcPr>
          <w:p>
            <w:pPr>
              <w:spacing w:before="0" w:after="40" w:line="276" w:lineRule="auto"/>
              <w:jc w:val="left"/>
            </w:pPr>
            <w:r>
              <w:rPr>
                <w:rFonts w:ascii="Arial" w:hAnsi="Arial"/>
                <w:b w:val="0"/>
                <w:color w:val="000000"/>
                <w:sz w:val="24"/>
              </w:rPr>
              <w:t>69</w:t>
            </w:r>
          </w:p>
        </w:tc>
        <w:tc>
          <w:tcPr>
            <w:tcW w:type="dxa" w:w="2041"/>
            <w:vAlign w:val="center"/>
            <w:shd w:fill="F3F6FA" w:val="clear"/>
          </w:tcPr>
          <w:p>
            <w:pPr>
              <w:spacing w:before="0" w:after="40" w:line="276" w:lineRule="auto"/>
              <w:jc w:val="left"/>
            </w:pPr>
            <w:r>
              <w:rPr>
                <w:rFonts w:ascii="Arial" w:hAnsi="Arial"/>
                <w:b w:val="0"/>
                <w:color w:val="000000"/>
                <w:sz w:val="24"/>
              </w:rPr>
              <w:t>5,8</w:t>
            </w:r>
          </w:p>
        </w:tc>
      </w:tr>
    </w:tbl>
    <w:p>
      <w:r>
        <w:t>Mit der gewählten 99-Prozent-Regel entstehen 114 Prüfhinweise auf 107 verschiedenen Zählern. Dies entspricht 1,36 Prozent der 8.398 bewertbaren Zähler-Monate. 68 Hinweise betreffen ungewöhnlich hohen, 46 ungewöhnlich niedrigen Verbrauch. Diese Zahlen quantifizieren das Arbeitsvolumen der Regel und nicht die Anzahl tatsächlicher Defekte.</w:t>
      </w:r>
    </w:p>
    <w:p w:rsidR="00000000" w:rsidDel="00000000" w:rsidP="00000000" w:rsidRDefault="00000000" w:rsidRPr="00000000" w14:paraId="000000F4">
      <w:pPr>
        <w:pStyle w:val="Heading2"/>
        <w:rPr/>
      </w:pPr>
      <w:r w:rsidDel="00000000" w:rsidR="00000000" w:rsidRPr="00000000">
        <w:rPr>
          <w:rtl w:val="0"/>
        </w:rPr>
        <w:t xml:space="preserve">4.4   Bewertung der Ergebnisqualität</w:t>
      </w:r>
    </w:p>
    <w:p>
      <w:pPr>
        <w:jc w:val="left"/>
      </w:pPr>
      <w:r>
        <w:t>Die Modellierung ist methodisch plausibel, weil sie die zeitliche Reihenfolge einhält, einfache Baselines einbezieht, die Vorverarbeitung nur auf Trainingsdaten lernt und die Baumtiefe des gewählten Random Forest begrenzt. Das Modell bleibt auch im späteren Jahr vor der linearen Referenz und den historischen Baselines. Ein eindeutiges Overfitting-Signal ist damit nicht erkennbar.</w:t>
      </w:r>
    </w:p>
    <w:p>
      <w:pPr>
        <w:jc w:val="left"/>
      </w:pPr>
      <w:r>
        <w:t>Produktionsreife lässt sich daraus noch nicht ableiten. Der Datensatz umfasst nur zwei Jahre, und die Schwelle basiert ausschließlich auf zwei winterlichen Monaten. Das Jahr 2025 wurde im Projekt bereits ausgewertet und ist deshalb ein retrospektiver Benchmark, kein unangesehener Blindtest. Ein prospektiver Schattenbetrieb muss die Stabilität unter zukünftigen Bedingungen erst bestätigen.</w:t>
      </w:r>
    </w:p>
    <w:p>
      <w:pPr>
        <w:jc w:val="left"/>
      </w:pPr>
      <w:r>
        <w:t>Außerdem fehlen fachlich bestätigte Anomalielabel. Precision, Recall, Fehlalarmquote und die Zahl übersehener relevanter Fälle können deshalb noch nicht seriös berechnet werden. Vor einem Produktiveinsatz sind eine längere Kalibrierungsbasis, dokumentierte Fachentscheidungen und stichprobenartige Kontrollen nicht markierter Fälle erforderlich.</w:t>
      </w:r>
    </w:p>
    <w:p w:rsidR="00000000" w:rsidDel="00000000" w:rsidP="00000000" w:rsidRDefault="00000000" w:rsidRPr="00000000" w14:paraId="000000F6">
      <w:pPr>
        <w:pStyle w:val="Heading2"/>
        <w:rPr/>
      </w:pPr>
      <w:r w:rsidDel="00000000" w:rsidR="00000000" w:rsidRPr="00000000">
        <w:rPr>
          <w:rtl w:val="0"/>
        </w:rPr>
        <w:t xml:space="preserve">4.5   Visualisierungen und Dashboard</w:t>
      </w:r>
    </w:p>
    <w:p>
      <w:pPr>
        <w:jc w:val="left"/>
      </w:pPr>
      <w:r>
        <w:t>Das Dashboard überführt die Modellergebnisse in einen kontrollierten Arbeitsprozess. Der Perzentil-Regler ändert nicht das trainierte Modell, sondern ausschließlich die Entscheidungsgrenze. Kennzahlen, farbige Punkte, Fallliste und Detailansicht werden gemeinsam aktualisiert, damit der Zusammenhang zwischen Sensitivität und Prüfaufwand sichtbar bleibt.</w:t>
      </w:r>
    </w:p>
    <w:p>
      <w:pPr>
        <w:pStyle w:val="ListNumber"/>
        <w:ind w:left="369" w:hanging="198"/>
        <w:jc w:val="left"/>
      </w:pPr>
      <w:r>
        <w:t>Prüfhinweise nach Schwellenfaktor und kWh-Auswirkung priorisieren</w:t>
      </w:r>
    </w:p>
    <w:p>
      <w:pPr>
        <w:pStyle w:val="ListNumber"/>
        <w:ind w:left="369" w:hanging="198"/>
        <w:jc w:val="left"/>
      </w:pPr>
      <w:r>
        <w:t>einen Zähler-Monat mit Istwert, Prognose und Residuum öffnen</w:t>
      </w:r>
    </w:p>
    <w:p>
      <w:pPr>
        <w:pStyle w:val="ListNumber"/>
        <w:ind w:left="369" w:hanging="198"/>
        <w:jc w:val="left"/>
      </w:pPr>
      <w:r>
        <w:t>Datenqualität, Produktionsplan, Wartung und betrieblichen Kontext prüfen</w:t>
      </w:r>
    </w:p>
    <w:p>
      <w:pPr>
        <w:pStyle w:val="ListNumber"/>
        <w:ind w:left="369" w:hanging="198"/>
        <w:jc w:val="left"/>
      </w:pPr>
      <w:r>
        <w:t>fachliche Entscheidung und Ursache dokumentieren</w:t>
      </w:r>
    </w:p>
    <w:p>
      <w:pPr>
        <w:pStyle w:val="ListNumber"/>
        <w:ind w:left="369" w:hanging="198"/>
        <w:jc w:val="left"/>
      </w:pPr>
      <w:r>
        <w:t>bestätigte und verworfene Hinweise als Feedback für das Monitoring sichern</w:t>
      </w:r>
    </w:p>
    <w:p>
      <w:pPr>
        <w:jc w:val="left"/>
      </w:pPr>
      <w:r>
        <w:t>Diese Rückmeldungen können in einer späteren Projektstufe als Zielvariable für ein Klassifikationsmodell dienen. Die Regression würde weiterhin den erwarteten Verbrauch bestimmen; das zusätzliche Modell könnte lernen, welche Prüfhinweise tatsächlich relevant waren. Erst mit solchen Labels lassen sich Precision und Recall berechnen und Schwellenwert beziehungsweise Priorisierung belastbar optimieren.</w:t>
      </w:r>
    </w:p>
    <w:p>
      <w:pPr>
        <w:jc w:val="left"/>
      </w:pPr>
      <w:r>
        <w:br w:type="page"/>
      </w:r>
    </w:p>
    <w:p w:rsidR="00000000" w:rsidDel="00000000" w:rsidP="00000000" w:rsidRDefault="00000000" w:rsidRPr="00000000" w14:paraId="000000F9">
      <w:pPr>
        <w:pStyle w:val="Heading1"/>
        <w:rPr/>
      </w:pPr>
      <w:r w:rsidDel="00000000" w:rsidR="00000000" w:rsidRPr="00000000">
        <w:rPr>
          <w:rtl w:val="0"/>
        </w:rPr>
        <w:t xml:space="preserve">Literaturverzeichnis</w:t>
      </w:r>
    </w:p>
    <w:p w:rsidR="00000000" w:rsidDel="00000000" w:rsidP="00000000" w:rsidRDefault="00000000" w:rsidRPr="00000000" w14:paraId="000000FA">
      <w:pPr>
        <w:rPr/>
      </w:pPr>
      <w:r w:rsidDel="00000000" w:rsidR="00000000" w:rsidRPr="00000000">
        <w:rPr>
          <w:rFonts w:ascii="Arial" w:cs="Arial" w:eastAsia="Arial" w:hAnsi="Arial"/>
          <w:i w:val="1"/>
          <w:iCs w:val="1"/>
          <w:color w:val="606060"/>
          <w:sz w:val="20"/>
          <w:szCs w:val="20"/>
          <w:rtl w:val="0"/>
        </w:rPr>
        <w:t xml:space="preserve">Format: Kurzquellbeleg im Text (Autor, Jahr, Seite) — vollständige Quellenangaben hier. Alphabetisch sortiert.</w:t>
      </w:r>
      <w:r w:rsidDel="00000000" w:rsidR="00000000" w:rsidRPr="00000000">
        <w:rPr>
          <w:rtl w:val="0"/>
        </w:rPr>
      </w:r>
    </w:p>
    <w:p w:rsidR="00000000" w:rsidDel="00000000" w:rsidP="00000000" w:rsidRDefault="00000000" w:rsidRPr="00000000" w14:paraId="000000FB">
      <w:pPr>
        <w:rPr/>
      </w:pPr>
      <w:r w:rsidDel="00000000" w:rsidR="00000000" w:rsidRPr="00000000">
        <w:rPr>
          <w:rFonts w:ascii="Arial" w:cs="Arial" w:eastAsia="Arial" w:hAnsi="Arial"/>
          <w:rtl w:val="0"/>
        </w:rPr>
        <w:t xml:space="preserve">Lemanzyk, S. (2020). Data Analyst (IHK) — Konzept Plus. DIHK-Bildungs-GmbH, Bonn. K181/1/1.</w:t>
      </w:r>
      <w:r w:rsidDel="00000000" w:rsidR="00000000" w:rsidRPr="00000000">
        <w:rPr>
          <w:rtl w:val="0"/>
        </w:rPr>
      </w:r>
    </w:p>
    <w:p w:rsidR="00000000" w:rsidDel="00000000" w:rsidP="00000000" w:rsidRDefault="00000000" w:rsidRPr="00000000" w14:paraId="000000FC">
      <w:pPr>
        <w:rPr/>
      </w:pPr>
      <w:r w:rsidDel="00000000" w:rsidR="00000000" w:rsidRPr="00000000">
        <w:rPr>
          <w:rFonts w:ascii="Arial" w:cs="Arial" w:eastAsia="Arial" w:hAnsi="Arial"/>
          <w:rtl w:val="0"/>
        </w:rPr>
        <w:t xml:space="preserve">[Weitere Quellen hier ergänzen.]</w:t>
      </w:r>
      <w:r w:rsidDel="00000000" w:rsidR="00000000" w:rsidRPr="00000000">
        <w:rPr>
          <w:rtl w:val="0"/>
        </w:rPr>
      </w:r>
    </w:p>
    <w:p w:rsidR="00000000" w:rsidDel="00000000" w:rsidP="00000000" w:rsidRDefault="00000000" w:rsidRPr="00000000" w14:paraId="000000FD">
      <w:pPr>
        <w:rPr/>
      </w:pPr>
      <w:r w:rsidDel="00000000" w:rsidR="00000000" w:rsidRPr="00000000">
        <w:rPr>
          <w:rFonts w:ascii="Arial" w:cs="Arial" w:eastAsia="Arial" w:hAnsi="Arial"/>
          <w:rtl w:val="0"/>
        </w:rPr>
        <w:t xml:space="preserve">DIHK-Bildungs-GmbH. (2026). Data Analyst (IHK) — Online-Zertifikatslehrgang. Verfügbar unter: https://www.dihk-bildungs-gmbh.de/weiterbildung/ihk-zertifikate/zertifikatslehrgaenge/data-analyst-ihk [Zugriff: Monat Jahr].</w:t>
      </w:r>
      <w:r w:rsidDel="00000000" w:rsidR="00000000" w:rsidRPr="00000000">
        <w:rPr>
          <w:rtl w:val="0"/>
        </w:rPr>
      </w:r>
    </w:p>
    <w:sectPr>
      <w:footerReference r:id="rId7" w:type="default"/>
      <w:pgSz w:h="16838" w:w="11906" w:orient="portrait"/>
      <w:pgMar w:bottom="1417" w:top="1417"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12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line="360" w:lineRule="auto" w:after="120"/>
      <w:jc w:val="left"/>
    </w:pPr>
    <w:rPr>
      <w:rFonts w:ascii="Arial" w:hAnsi="Arial"/>
      <w:sz w:val="24"/>
    </w:rPr>
  </w:style>
  <w:style w:type="paragraph" w:styleId="Heading1">
    <w:name w:val="heading 1"/>
    <w:basedOn w:val="Normal"/>
    <w:next w:val="Normal"/>
    <w:pPr>
      <w:keepNext w:val="1"/>
      <w:keepLines w:val="1"/>
      <w:spacing w:after="160" w:before="360" w:line="360" w:lineRule="auto"/>
    </w:pPr>
    <w:rPr>
      <w:rFonts w:ascii="Arial" w:cs="Arial" w:eastAsia="Arial" w:hAnsi="Arial"/>
      <w:b/>
      <w:bCs w:val="1"/>
      <w:color w:val="000000"/>
      <w:sz w:val="36"/>
      <w:szCs w:val="36"/>
    </w:rPr>
  </w:style>
  <w:style w:type="paragraph" w:styleId="Heading2">
    <w:name w:val="heading 2"/>
    <w:basedOn w:val="Normal"/>
    <w:next w:val="Normal"/>
    <w:pPr>
      <w:keepNext w:val="1"/>
      <w:keepLines w:val="1"/>
      <w:spacing w:after="160" w:before="300" w:line="360" w:lineRule="auto"/>
    </w:pPr>
    <w:rPr>
      <w:rFonts w:ascii="Arial" w:cs="Arial" w:eastAsia="Arial" w:hAnsi="Arial"/>
      <w:b/>
      <w:bCs w:val="1"/>
      <w:color w:val="000000"/>
      <w:sz w:val="28"/>
      <w:szCs w:val="28"/>
    </w:rPr>
  </w:style>
  <w:style w:type="paragraph" w:styleId="Heading3">
    <w:name w:val="heading 3"/>
    <w:basedOn w:val="Normal"/>
    <w:next w:val="Normal"/>
    <w:pPr>
      <w:keepNext w:val="1"/>
      <w:keepLines w:val="1"/>
      <w:spacing w:after="160" w:before="240" w:line="360" w:lineRule="auto"/>
    </w:pPr>
    <w:rPr>
      <w:rFonts w:ascii="Arial" w:cs="Arial" w:eastAsia="Arial" w:hAnsi="Arial"/>
      <w:b/>
      <w:bCs w:val="1"/>
      <w:color w:val="000000"/>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mrsHIJbgrGgHYPQKHv06lQeSog==">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title>Prognose des monatlichen Energieverbrauchs und Erkennung von Anomalien</dc:title>
  <dc:subject>IHK-Projektbericht mit ausgearbeitetem Machine-Learning-Layer</dc:subject>
</cp:coreProperties>
</file>