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510FF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5076"/>
        <w:rPr>
          <w:color w:val="000000"/>
          <w:sz w:val="20"/>
          <w:szCs w:val="20"/>
        </w:rPr>
      </w:pPr>
      <w:r>
        <w:fldChar w:fldCharType="begin"/>
      </w:r>
      <w:r>
        <w:instrText>HYPERLINK "mailto:jon.braun10@gmail.com" \h</w:instrText>
      </w:r>
      <w:r>
        <w:fldChar w:fldCharType="separate"/>
      </w:r>
      <w:r>
        <w:rPr>
          <w:color w:val="0000FF"/>
          <w:sz w:val="20"/>
          <w:szCs w:val="20"/>
          <w:u w:val="single"/>
        </w:rPr>
        <w:t>jon.braun10@gmail.com</w:t>
      </w:r>
      <w:r>
        <w:rPr>
          <w:color w:val="0000FF"/>
          <w:sz w:val="20"/>
          <w:szCs w:val="20"/>
          <w:u w:val="single"/>
        </w:rPr>
        <w:fldChar w:fldCharType="end"/>
      </w:r>
      <w:r>
        <w:rPr>
          <w:color w:val="0000FF"/>
          <w:sz w:val="20"/>
          <w:szCs w:val="20"/>
          <w:u w:val="single"/>
        </w:rPr>
        <w:t xml:space="preserve"> </w:t>
      </w:r>
      <w:r>
        <w:rPr>
          <w:color w:val="000000"/>
          <w:sz w:val="20"/>
          <w:szCs w:val="20"/>
        </w:rPr>
        <w:t xml:space="preserve">· (813) 210-2511 · </w:t>
      </w:r>
      <w:hyperlink r:id="rId8">
        <w:r>
          <w:rPr>
            <w:color w:val="0000FF"/>
            <w:sz w:val="20"/>
            <w:szCs w:val="20"/>
            <w:u w:val="single"/>
          </w:rPr>
          <w:t>linkedin.com/in/</w:t>
        </w:r>
        <w:proofErr w:type="spellStart"/>
        <w:r>
          <w:rPr>
            <w:color w:val="0000FF"/>
            <w:sz w:val="20"/>
            <w:szCs w:val="20"/>
            <w:u w:val="single"/>
          </w:rPr>
          <w:t>jonbraunmba</w:t>
        </w:r>
        <w:proofErr w:type="spellEnd"/>
        <w:r>
          <w:rPr>
            <w:color w:val="0000FF"/>
            <w:sz w:val="20"/>
            <w:szCs w:val="20"/>
            <w:u w:val="single"/>
          </w:rPr>
          <w:t>/</w:t>
        </w:r>
      </w:hyperlink>
    </w:p>
    <w:p w14:paraId="68B9E319" w14:textId="77777777" w:rsidR="003847CA" w:rsidRDefault="003847CA">
      <w:pPr>
        <w:pBdr>
          <w:top w:val="nil"/>
          <w:left w:val="nil"/>
          <w:bottom w:val="nil"/>
          <w:right w:val="nil"/>
          <w:between w:val="nil"/>
        </w:pBdr>
        <w:ind w:left="180"/>
        <w:jc w:val="center"/>
        <w:rPr>
          <w:color w:val="000000"/>
        </w:rPr>
      </w:pPr>
    </w:p>
    <w:p w14:paraId="3E4A1577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Sustainability Leader | Renewable Energy Financing and Acquisitions | Alternative Investments</w:t>
      </w:r>
    </w:p>
    <w:p w14:paraId="3B2658D6" w14:textId="77777777" w:rsidR="003847CA" w:rsidRDefault="00000000">
      <w:pPr>
        <w:pStyle w:val="Heading1"/>
        <w:spacing w:before="90"/>
        <w:ind w:firstLine="180"/>
      </w:pPr>
      <w:r>
        <w:t>Professional Experience</w:t>
      </w:r>
    </w:p>
    <w:p w14:paraId="492AE514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line="30" w:lineRule="auto"/>
        <w:ind w:left="135"/>
        <w:rPr>
          <w:color w:val="000000"/>
          <w:sz w:val="3"/>
          <w:szCs w:val="3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361DDA9C" wp14:editId="3258671E">
                <wp:extent cx="6979285" cy="19050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285" cy="19050"/>
                          <a:chOff x="1856350" y="3770475"/>
                          <a:chExt cx="6969775" cy="19050"/>
                        </a:xfrm>
                      </wpg:grpSpPr>
                      <wpg:grpSp>
                        <wpg:cNvPr id="1078503360" name="Group 1078503360"/>
                        <wpg:cNvGrpSpPr/>
                        <wpg:grpSpPr>
                          <a:xfrm>
                            <a:off x="1856358" y="3770475"/>
                            <a:ext cx="6969760" cy="15875"/>
                            <a:chOff x="0" y="0"/>
                            <a:chExt cx="10976" cy="25"/>
                          </a:xfrm>
                        </wpg:grpSpPr>
                        <wps:wsp>
                          <wps:cNvPr id="1917477978" name="Rectangle 1917477978"/>
                          <wps:cNvSpPr/>
                          <wps:spPr>
                            <a:xfrm>
                              <a:off x="0" y="0"/>
                              <a:ext cx="109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EA83B8A" w14:textId="77777777" w:rsidR="003847CA" w:rsidRDefault="003847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95151534" name="Straight Arrow Connector 495151534"/>
                          <wps:cNvCnPr/>
                          <wps:spPr>
                            <a:xfrm>
                              <a:off x="15" y="15"/>
                              <a:ext cx="10961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979285" cy="19050"/>
                <wp:effectExtent b="0" l="0" r="0" t="0"/>
                <wp:docPr id="16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92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DA31A38" w14:textId="77777777" w:rsidR="003847CA" w:rsidRDefault="003847CA">
      <w:pPr>
        <w:ind w:left="539"/>
        <w:rPr>
          <w:sz w:val="12"/>
          <w:szCs w:val="12"/>
        </w:rPr>
      </w:pPr>
    </w:p>
    <w:p w14:paraId="453183AD" w14:textId="77777777" w:rsidR="003847CA" w:rsidRDefault="00000000">
      <w:pPr>
        <w:ind w:left="539"/>
      </w:pPr>
      <w:proofErr w:type="spellStart"/>
      <w:r>
        <w:t>Redaptive</w:t>
      </w:r>
      <w:proofErr w:type="spellEnd"/>
      <w:r>
        <w:t>, Inc – Denver, CO</w:t>
      </w:r>
    </w:p>
    <w:p w14:paraId="17955992" w14:textId="77777777" w:rsidR="003847CA" w:rsidRDefault="00000000">
      <w:pPr>
        <w:ind w:left="539" w:right="150"/>
      </w:pPr>
      <w:r>
        <w:t xml:space="preserve">Finance Leader, </w:t>
      </w:r>
      <w:proofErr w:type="spellStart"/>
      <w:r>
        <w:t>Redaptive</w:t>
      </w:r>
      <w:proofErr w:type="spellEnd"/>
      <w:r>
        <w:t xml:space="preserve"> Capital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May 2023 – Present</w:t>
      </w:r>
    </w:p>
    <w:p w14:paraId="5799E1B9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Lead valuation and credit teams as well as capital markets (debt and tax equity) functions.</w:t>
      </w:r>
    </w:p>
    <w:p w14:paraId="45754C13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Participated in </w:t>
      </w:r>
      <w:r>
        <w:rPr>
          <w:sz w:val="20"/>
          <w:szCs w:val="20"/>
        </w:rPr>
        <w:t xml:space="preserve">closing </w:t>
      </w:r>
      <w:r>
        <w:rPr>
          <w:color w:val="000000"/>
          <w:sz w:val="20"/>
          <w:szCs w:val="20"/>
        </w:rPr>
        <w:t>$125M warehouse facility with Deutsche Bank and subsequent management of project financings.</w:t>
      </w:r>
    </w:p>
    <w:p w14:paraId="3FF454E3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Currently leading project financing and tax equity capital engagement with raise goals of $250M-$500M.</w:t>
      </w:r>
    </w:p>
    <w:p w14:paraId="1B695618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Subject matter expert and leader of investment tax credit strategy and tax equity funding partnerships. </w:t>
      </w:r>
    </w:p>
    <w:p w14:paraId="33189117" w14:textId="77777777" w:rsidR="003847CA" w:rsidRDefault="003847CA">
      <w:pPr>
        <w:ind w:left="539"/>
        <w:rPr>
          <w:sz w:val="10"/>
          <w:szCs w:val="10"/>
        </w:rPr>
      </w:pPr>
    </w:p>
    <w:p w14:paraId="5082E5F0" w14:textId="77777777" w:rsidR="003847CA" w:rsidRDefault="00000000">
      <w:pPr>
        <w:ind w:left="539"/>
      </w:pPr>
      <w:proofErr w:type="spellStart"/>
      <w:r>
        <w:t>BluePath</w:t>
      </w:r>
      <w:proofErr w:type="spellEnd"/>
      <w:r>
        <w:t xml:space="preserve"> Finance – Denver, CO (Remote)</w:t>
      </w:r>
    </w:p>
    <w:p w14:paraId="48BC0613" w14:textId="77777777" w:rsidR="003847CA" w:rsidRDefault="00000000">
      <w:pPr>
        <w:ind w:left="539" w:right="150"/>
      </w:pPr>
      <w:r>
        <w:t>Director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August 2022 – May 2023</w:t>
      </w:r>
    </w:p>
    <w:p w14:paraId="7041D13B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Led M&amp;A and deal execution for distributed generation assets including solar, storage, microgrid, and EaaS projects. </w:t>
      </w:r>
    </w:p>
    <w:p w14:paraId="2804A578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Sourced deal opportunities through new and existing relationships with developer, ESCO, and EPC networks. </w:t>
      </w:r>
    </w:p>
    <w:p w14:paraId="554CA8C3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Standardized and scaled deal execution framework including origination, structuring, contract negotiations, and closings. </w:t>
      </w:r>
    </w:p>
    <w:p w14:paraId="78F31535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</w:pPr>
      <w:r>
        <w:rPr>
          <w:color w:val="000000"/>
          <w:sz w:val="20"/>
          <w:szCs w:val="20"/>
        </w:rPr>
        <w:t>Directed new market strategy including partner engagement, policy analysis, and financial structuring.</w:t>
      </w:r>
    </w:p>
    <w:p w14:paraId="20818053" w14:textId="77777777" w:rsidR="003847CA" w:rsidRDefault="003847CA">
      <w:pPr>
        <w:tabs>
          <w:tab w:val="left" w:pos="1078"/>
          <w:tab w:val="left" w:pos="1079"/>
        </w:tabs>
        <w:rPr>
          <w:sz w:val="10"/>
          <w:szCs w:val="10"/>
        </w:rPr>
      </w:pPr>
    </w:p>
    <w:p w14:paraId="2324C38D" w14:textId="77777777" w:rsidR="003847CA" w:rsidRDefault="00000000">
      <w:pPr>
        <w:ind w:left="539"/>
      </w:pPr>
      <w:r>
        <w:t>Wunder Capital – Denver, CO</w:t>
      </w:r>
    </w:p>
    <w:p w14:paraId="546EB211" w14:textId="77777777" w:rsidR="003847CA" w:rsidRDefault="00000000">
      <w:pPr>
        <w:ind w:left="539"/>
      </w:pPr>
      <w:r>
        <w:t>Associate Director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August 2021 – July 2022</w:t>
      </w:r>
    </w:p>
    <w:p w14:paraId="35B218B5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Investment and Credit &amp; Underwriting teams to evaluate financing opportunities for solar development projects and active solar energy systems in the commercial and industrial sectors.</w:t>
      </w:r>
    </w:p>
    <w:p w14:paraId="0C6AAC20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Directed standardization and credit framework analyses for current and potential markets. </w:t>
      </w:r>
    </w:p>
    <w:p w14:paraId="735A0F54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department KPIs tracking deal flow and team performance, as well as periodic executive and investor reporting.</w:t>
      </w:r>
    </w:p>
    <w:p w14:paraId="610B0333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spacing w:after="80"/>
        <w:ind w:left="1080" w:hanging="3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Worked with software engineering and product teams to create scalable processes and programmatic solutions for underwriting debt opportunities.</w:t>
      </w:r>
    </w:p>
    <w:p w14:paraId="7E8694C3" w14:textId="77777777" w:rsidR="003847CA" w:rsidRDefault="00000000">
      <w:pPr>
        <w:ind w:left="539" w:right="150"/>
      </w:pPr>
      <w:proofErr w:type="spellStart"/>
      <w:r>
        <w:t>Stonetown</w:t>
      </w:r>
      <w:proofErr w:type="spellEnd"/>
      <w:r>
        <w:t xml:space="preserve"> Capital Group – Denver, CO</w:t>
      </w:r>
    </w:p>
    <w:p w14:paraId="0C0609DC" w14:textId="77777777" w:rsidR="003847CA" w:rsidRDefault="00000000">
      <w:pPr>
        <w:ind w:left="539" w:right="60"/>
      </w:pPr>
      <w:r>
        <w:t>Vice 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August 2014 – July 2021</w:t>
      </w:r>
    </w:p>
    <w:p w14:paraId="5EB4EAB4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left="1079" w:hanging="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and assisted in the acquisition, development, and asset management of diversified utility, affordable housing, and commercial real estate assets across 70+ transactions increasing AUM from $200M to $700M+.</w:t>
      </w:r>
    </w:p>
    <w:p w14:paraId="5D9CD48E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hanging="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Sustainability Investment framework to evaluate potential environmental risks and opportunities for new deals.</w:t>
      </w:r>
    </w:p>
    <w:p w14:paraId="64932B44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hanging="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Asset manager for all utility and sustainability FP</w:t>
      </w:r>
      <w:r>
        <w:rPr>
          <w:sz w:val="20"/>
          <w:szCs w:val="20"/>
        </w:rPr>
        <w:t xml:space="preserve">&amp;A, </w:t>
      </w:r>
      <w:r>
        <w:rPr>
          <w:color w:val="000000"/>
          <w:sz w:val="20"/>
          <w:szCs w:val="20"/>
        </w:rPr>
        <w:t>KPIs, infrastructure investments, and related investor communications.</w:t>
      </w:r>
    </w:p>
    <w:p w14:paraId="7CEFCE2E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hanging="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underwriting and due diligence efforts for new acquisitions targeting $2.5-100M in transaction volume.</w:t>
      </w:r>
    </w:p>
    <w:p w14:paraId="16C5ABEE" w14:textId="77777777" w:rsidR="003847CA" w:rsidRDefault="003847CA">
      <w:pPr>
        <w:pStyle w:val="Heading2"/>
        <w:tabs>
          <w:tab w:val="left" w:pos="8658"/>
        </w:tabs>
        <w:spacing w:before="1"/>
        <w:ind w:left="539" w:hanging="2"/>
        <w:rPr>
          <w:sz w:val="4"/>
          <w:szCs w:val="4"/>
        </w:rPr>
      </w:pPr>
    </w:p>
    <w:p w14:paraId="38618E9F" w14:textId="77777777" w:rsidR="003847CA" w:rsidRDefault="00000000">
      <w:pPr>
        <w:pStyle w:val="Heading2"/>
        <w:tabs>
          <w:tab w:val="left" w:pos="8658"/>
        </w:tabs>
        <w:ind w:left="539" w:hanging="2"/>
      </w:pPr>
      <w:r>
        <w:t>YES! Communities – Denver, CO</w:t>
      </w:r>
    </w:p>
    <w:p w14:paraId="11A93657" w14:textId="77777777" w:rsidR="003847CA" w:rsidRDefault="00000000">
      <w:pPr>
        <w:pStyle w:val="Heading2"/>
        <w:spacing w:after="80"/>
        <w:ind w:left="539" w:right="150" w:hanging="2"/>
      </w:pPr>
      <w:r>
        <w:t>Manager of Sustainability and Utility Systems</w:t>
      </w:r>
      <w:r>
        <w:tab/>
      </w:r>
      <w:r>
        <w:tab/>
      </w:r>
      <w:r>
        <w:tab/>
      </w:r>
      <w:r>
        <w:tab/>
      </w:r>
      <w:r>
        <w:tab/>
        <w:t xml:space="preserve">           September 2008 – July 2014</w:t>
      </w:r>
    </w:p>
    <w:p w14:paraId="23967383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ind w:hanging="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Managed a $40M utility portfolio and 181 nationwide business units for a leading owner/operator of multifamily and affordable housing. Led multiple sustainability and capital improvement projects which increased portfolio value by $10.5M.</w:t>
      </w:r>
    </w:p>
    <w:p w14:paraId="5DDA1C24" w14:textId="77777777" w:rsidR="003847CA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8"/>
          <w:tab w:val="left" w:pos="1079"/>
        </w:tabs>
        <w:spacing w:after="80"/>
        <w:ind w:hanging="358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the YES! Green initiative including corporate office performance programs, sustainability-driven asset management framework, and KPI reporting. </w:t>
      </w:r>
    </w:p>
    <w:p w14:paraId="137669B9" w14:textId="77777777" w:rsidR="003847CA" w:rsidRDefault="003847CA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6"/>
          <w:szCs w:val="6"/>
        </w:rPr>
      </w:pPr>
    </w:p>
    <w:p w14:paraId="40C28D1D" w14:textId="77777777" w:rsidR="003847CA" w:rsidRDefault="00000000">
      <w:pPr>
        <w:pStyle w:val="Heading1"/>
        <w:ind w:left="152"/>
      </w:pPr>
      <w:bookmarkStart w:id="0" w:name="bookmark=id.gjdgxs" w:colFirst="0" w:colLast="0"/>
      <w:bookmarkEnd w:id="0"/>
      <w:r>
        <w:t>Education</w:t>
      </w:r>
    </w:p>
    <w:p w14:paraId="02AC6024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line="30" w:lineRule="auto"/>
        <w:ind w:left="107"/>
        <w:rPr>
          <w:color w:val="000000"/>
          <w:sz w:val="3"/>
          <w:szCs w:val="3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0478B894" wp14:editId="264DAE9A">
                <wp:extent cx="6997065" cy="19050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065" cy="19050"/>
                          <a:chOff x="1847450" y="3770475"/>
                          <a:chExt cx="6986925" cy="19050"/>
                        </a:xfrm>
                      </wpg:grpSpPr>
                      <wpg:grpSp>
                        <wpg:cNvPr id="1561457672" name="Group 1561457672"/>
                        <wpg:cNvGrpSpPr/>
                        <wpg:grpSpPr>
                          <a:xfrm>
                            <a:off x="1847468" y="3770475"/>
                            <a:ext cx="6986905" cy="15875"/>
                            <a:chOff x="0" y="0"/>
                            <a:chExt cx="11003" cy="25"/>
                          </a:xfrm>
                        </wpg:grpSpPr>
                        <wps:wsp>
                          <wps:cNvPr id="1263978782" name="Rectangle 1263978782"/>
                          <wps:cNvSpPr/>
                          <wps:spPr>
                            <a:xfrm>
                              <a:off x="0" y="0"/>
                              <a:ext cx="110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A184B40" w14:textId="77777777" w:rsidR="003847CA" w:rsidRDefault="003847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83638910" name="Straight Arrow Connector 683638910"/>
                          <wps:cNvCnPr/>
                          <wps:spPr>
                            <a:xfrm>
                              <a:off x="15" y="15"/>
                              <a:ext cx="10988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997065" cy="19050"/>
                <wp:effectExtent b="0" l="0" r="0" t="0"/>
                <wp:docPr id="1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9706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9F0E6F3" w14:textId="77777777" w:rsidR="003847CA" w:rsidRDefault="00000000">
      <w:pPr>
        <w:pStyle w:val="Heading2"/>
        <w:tabs>
          <w:tab w:val="left" w:pos="9821"/>
        </w:tabs>
        <w:spacing w:before="27"/>
        <w:ind w:firstLine="540"/>
      </w:pPr>
      <w:r>
        <w:t>Master of Business Administration (MBA)</w:t>
      </w:r>
      <w:r>
        <w:tab/>
        <w:t>May 9, 2014</w:t>
      </w:r>
    </w:p>
    <w:p w14:paraId="19D8AFA8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ind w:left="540" w:right="7697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University of Colorado at Boulder Emphasis: Management and Strategy</w:t>
      </w:r>
    </w:p>
    <w:p w14:paraId="28D76D11" w14:textId="77777777" w:rsidR="003847CA" w:rsidRDefault="003847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2"/>
          <w:szCs w:val="12"/>
        </w:rPr>
      </w:pPr>
    </w:p>
    <w:p w14:paraId="6B7FDF05" w14:textId="77777777" w:rsidR="003847CA" w:rsidRDefault="00000000">
      <w:pPr>
        <w:pStyle w:val="Heading2"/>
        <w:tabs>
          <w:tab w:val="left" w:pos="9821"/>
        </w:tabs>
        <w:ind w:firstLine="540"/>
      </w:pPr>
      <w:r>
        <w:t>Bachelor of Arts (BA) – Environmental Studies</w:t>
      </w:r>
      <w:r>
        <w:tab/>
        <w:t>May 9, 2008</w:t>
      </w:r>
    </w:p>
    <w:p w14:paraId="239BA559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University of Colorado at Boulder</w:t>
      </w:r>
    </w:p>
    <w:p w14:paraId="25231BC7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before="13"/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Emphasis: Decision Making, Planning, and Public Policy</w:t>
      </w:r>
    </w:p>
    <w:p w14:paraId="4EED6FF8" w14:textId="77777777" w:rsidR="003847CA" w:rsidRDefault="003847C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6"/>
          <w:szCs w:val="6"/>
        </w:rPr>
      </w:pPr>
    </w:p>
    <w:p w14:paraId="05ED4C4C" w14:textId="77777777" w:rsidR="003847CA" w:rsidRDefault="00000000">
      <w:pPr>
        <w:pStyle w:val="Heading1"/>
        <w:ind w:firstLine="180"/>
      </w:pPr>
      <w:bookmarkStart w:id="1" w:name="bookmark=id.30j0zll" w:colFirst="0" w:colLast="0"/>
      <w:bookmarkEnd w:id="1"/>
      <w:r>
        <w:t>Additional Certifications</w:t>
      </w:r>
    </w:p>
    <w:p w14:paraId="7B94B2DB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line="30" w:lineRule="auto"/>
        <w:ind w:left="135"/>
        <w:rPr>
          <w:color w:val="000000"/>
          <w:sz w:val="3"/>
          <w:szCs w:val="3"/>
        </w:rPr>
      </w:pPr>
      <w:r>
        <w:rPr>
          <w:noProof/>
          <w:color w:val="000000"/>
          <w:sz w:val="20"/>
          <w:szCs w:val="20"/>
        </w:rPr>
        <mc:AlternateContent>
          <mc:Choice Requires="wpg">
            <w:drawing>
              <wp:inline distT="0" distB="0" distL="0" distR="0" wp14:anchorId="0D302390" wp14:editId="0AD10815">
                <wp:extent cx="6979285" cy="19050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285" cy="19050"/>
                          <a:chOff x="1856350" y="3770475"/>
                          <a:chExt cx="6969775" cy="19050"/>
                        </a:xfrm>
                      </wpg:grpSpPr>
                      <wpg:grpSp>
                        <wpg:cNvPr id="1067626718" name="Group 1067626718"/>
                        <wpg:cNvGrpSpPr/>
                        <wpg:grpSpPr>
                          <a:xfrm>
                            <a:off x="1856358" y="3770475"/>
                            <a:ext cx="6969760" cy="15875"/>
                            <a:chOff x="0" y="0"/>
                            <a:chExt cx="10976" cy="25"/>
                          </a:xfrm>
                        </wpg:grpSpPr>
                        <wps:wsp>
                          <wps:cNvPr id="1523711177" name="Rectangle 1523711177"/>
                          <wps:cNvSpPr/>
                          <wps:spPr>
                            <a:xfrm>
                              <a:off x="0" y="0"/>
                              <a:ext cx="109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BCA506" w14:textId="77777777" w:rsidR="003847CA" w:rsidRDefault="003847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30428928" name="Straight Arrow Connector 1330428928"/>
                          <wps:cNvCnPr/>
                          <wps:spPr>
                            <a:xfrm>
                              <a:off x="15" y="15"/>
                              <a:ext cx="10961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979285" cy="19050"/>
                <wp:effectExtent b="0" l="0" r="0" t="0"/>
                <wp:docPr id="17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92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129E850E" w14:textId="77777777" w:rsidR="003847CA" w:rsidRDefault="00000000">
      <w:pPr>
        <w:pStyle w:val="Heading2"/>
        <w:tabs>
          <w:tab w:val="left" w:pos="9489"/>
        </w:tabs>
        <w:spacing w:before="24"/>
        <w:ind w:right="-30" w:firstLine="540"/>
      </w:pPr>
      <w:r>
        <w:t>Chartered Alternative Investment Analyst (CAIA)</w:t>
      </w:r>
      <w:r>
        <w:tab/>
        <w:t xml:space="preserve"> November 2019</w:t>
      </w:r>
    </w:p>
    <w:p w14:paraId="6663298C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before="18"/>
        <w:ind w:left="54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CAIA Association</w:t>
      </w:r>
      <w:r>
        <w:rPr>
          <w:color w:val="000000"/>
          <w:sz w:val="20"/>
          <w:szCs w:val="20"/>
        </w:rPr>
        <w:br/>
        <w:t>Topics: Ethics, Real Assets. Private Equity, Hedge Funds, Structured Products, Valuation, ESG, Risk and Portfolio Management</w:t>
      </w:r>
    </w:p>
    <w:p w14:paraId="053DDA4C" w14:textId="77777777" w:rsidR="003847CA" w:rsidRDefault="003847C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6"/>
          <w:szCs w:val="6"/>
        </w:rPr>
      </w:pPr>
    </w:p>
    <w:p w14:paraId="30EC4172" w14:textId="77777777" w:rsidR="003847CA" w:rsidRDefault="00000000">
      <w:pPr>
        <w:pStyle w:val="Heading1"/>
        <w:ind w:left="178"/>
      </w:pPr>
      <w:bookmarkStart w:id="2" w:name="bookmark=id.1fob9te" w:colFirst="0" w:colLast="0"/>
      <w:bookmarkEnd w:id="2"/>
      <w:r>
        <w:t>Skills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02FCD06" wp14:editId="14D905EC">
                <wp:simplePos x="0" y="0"/>
                <wp:positionH relativeFrom="column">
                  <wp:posOffset>88901</wp:posOffset>
                </wp:positionH>
                <wp:positionV relativeFrom="paragraph">
                  <wp:posOffset>165100</wp:posOffset>
                </wp:positionV>
                <wp:extent cx="6979285" cy="1905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9285" cy="19050"/>
                          <a:chOff x="1856350" y="3770475"/>
                          <a:chExt cx="6969775" cy="19050"/>
                        </a:xfrm>
                      </wpg:grpSpPr>
                      <wpg:grpSp>
                        <wpg:cNvPr id="119938010" name="Group 119938010"/>
                        <wpg:cNvGrpSpPr/>
                        <wpg:grpSpPr>
                          <a:xfrm>
                            <a:off x="1856358" y="3770475"/>
                            <a:ext cx="6969760" cy="15875"/>
                            <a:chOff x="0" y="0"/>
                            <a:chExt cx="10976" cy="25"/>
                          </a:xfrm>
                        </wpg:grpSpPr>
                        <wps:wsp>
                          <wps:cNvPr id="1059923535" name="Rectangle 1059923535"/>
                          <wps:cNvSpPr/>
                          <wps:spPr>
                            <a:xfrm>
                              <a:off x="0" y="0"/>
                              <a:ext cx="10975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82FB92" w14:textId="77777777" w:rsidR="003847CA" w:rsidRDefault="003847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69443378" name="Straight Arrow Connector 1569443378"/>
                          <wps:cNvCnPr/>
                          <wps:spPr>
                            <a:xfrm>
                              <a:off x="15" y="15"/>
                              <a:ext cx="10961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88901</wp:posOffset>
                </wp:positionH>
                <wp:positionV relativeFrom="paragraph">
                  <wp:posOffset>165100</wp:posOffset>
                </wp:positionV>
                <wp:extent cx="6979285" cy="19050"/>
                <wp:effectExtent b="0" l="0" r="0" t="0"/>
                <wp:wrapNone/>
                <wp:docPr id="1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792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2976FDA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before="48" w:line="276" w:lineRule="auto"/>
        <w:ind w:left="550" w:right="83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Sustainability, project development and execution, renewable energy, investments, acquisitions, private equity, tax credits (ITC), tax equity, FP&amp;A, capital projects, asset management, corporate finance, advanced Excel modeling, strategy, project finance, capital markets, sustainability frameworks, private debt</w:t>
      </w:r>
    </w:p>
    <w:p w14:paraId="0E543690" w14:textId="77777777" w:rsidR="00CE1FB3" w:rsidRDefault="00CE1FB3">
      <w:pPr>
        <w:pBdr>
          <w:top w:val="nil"/>
          <w:left w:val="nil"/>
          <w:bottom w:val="nil"/>
          <w:right w:val="nil"/>
          <w:between w:val="nil"/>
        </w:pBdr>
        <w:spacing w:before="48" w:line="276" w:lineRule="auto"/>
        <w:ind w:left="550" w:right="839"/>
        <w:rPr>
          <w:color w:val="000000"/>
          <w:sz w:val="20"/>
          <w:szCs w:val="20"/>
        </w:rPr>
      </w:pPr>
    </w:p>
    <w:p w14:paraId="36AAFC4D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before="20"/>
        <w:ind w:left="5076"/>
        <w:rPr>
          <w:color w:val="000000"/>
          <w:sz w:val="20"/>
          <w:szCs w:val="20"/>
        </w:rPr>
      </w:pPr>
      <w:hyperlink r:id="rId13">
        <w:r>
          <w:rPr>
            <w:color w:val="0000FF"/>
            <w:sz w:val="20"/>
            <w:szCs w:val="20"/>
            <w:u w:val="single"/>
          </w:rPr>
          <w:t>jon.braun10@gmail.com</w:t>
        </w:r>
      </w:hyperlink>
      <w:r>
        <w:rPr>
          <w:color w:val="0000FF"/>
          <w:sz w:val="20"/>
          <w:szCs w:val="20"/>
          <w:u w:val="single"/>
        </w:rPr>
        <w:t xml:space="preserve"> </w:t>
      </w:r>
      <w:r>
        <w:rPr>
          <w:color w:val="000000"/>
          <w:sz w:val="20"/>
          <w:szCs w:val="20"/>
        </w:rPr>
        <w:t xml:space="preserve">· (813) 210-2511 · </w:t>
      </w:r>
      <w:hyperlink r:id="rId14">
        <w:r>
          <w:rPr>
            <w:color w:val="0000FF"/>
            <w:sz w:val="20"/>
            <w:szCs w:val="20"/>
            <w:u w:val="single"/>
          </w:rPr>
          <w:t>linkedin.com/in/</w:t>
        </w:r>
        <w:proofErr w:type="spellStart"/>
        <w:r>
          <w:rPr>
            <w:color w:val="0000FF"/>
            <w:sz w:val="20"/>
            <w:szCs w:val="20"/>
            <w:u w:val="single"/>
          </w:rPr>
          <w:t>jonbraunmba</w:t>
        </w:r>
        <w:proofErr w:type="spellEnd"/>
        <w:r>
          <w:rPr>
            <w:color w:val="0000FF"/>
            <w:sz w:val="20"/>
            <w:szCs w:val="20"/>
            <w:u w:val="single"/>
          </w:rPr>
          <w:t>/</w:t>
        </w:r>
      </w:hyperlink>
    </w:p>
    <w:p w14:paraId="589DE46C" w14:textId="77777777" w:rsidR="003847CA" w:rsidRDefault="003847CA">
      <w:pPr>
        <w:pStyle w:val="Heading1"/>
        <w:spacing w:before="91"/>
        <w:ind w:left="0"/>
        <w:rPr>
          <w:sz w:val="12"/>
          <w:szCs w:val="12"/>
        </w:rPr>
      </w:pPr>
    </w:p>
    <w:p w14:paraId="3C50E3E4" w14:textId="77777777" w:rsidR="003847CA" w:rsidRDefault="003847CA">
      <w:pPr>
        <w:pStyle w:val="Heading1"/>
        <w:spacing w:before="91"/>
        <w:ind w:firstLine="180"/>
      </w:pPr>
    </w:p>
    <w:p w14:paraId="064387CF" w14:textId="77777777" w:rsidR="003847CA" w:rsidRDefault="00000000">
      <w:pPr>
        <w:pStyle w:val="Heading1"/>
        <w:spacing w:before="91"/>
        <w:ind w:firstLine="180"/>
      </w:pPr>
      <w:r>
        <w:t>Selected Deal and Project Experience</w:t>
      </w:r>
    </w:p>
    <w:p w14:paraId="67BDCBD7" w14:textId="77777777" w:rsidR="003847CA" w:rsidRDefault="00000000">
      <w:pPr>
        <w:pBdr>
          <w:top w:val="nil"/>
          <w:left w:val="nil"/>
          <w:bottom w:val="nil"/>
          <w:right w:val="nil"/>
          <w:between w:val="nil"/>
        </w:pBdr>
        <w:spacing w:line="30" w:lineRule="auto"/>
        <w:ind w:left="135"/>
        <w:rPr>
          <w:color w:val="000000"/>
          <w:sz w:val="3"/>
          <w:szCs w:val="3"/>
        </w:rPr>
      </w:pPr>
      <w:r>
        <w:rPr>
          <w:noProof/>
          <w:color w:val="000000"/>
          <w:sz w:val="3"/>
          <w:szCs w:val="3"/>
        </w:rPr>
        <mc:AlternateContent>
          <mc:Choice Requires="wpg">
            <w:drawing>
              <wp:inline distT="0" distB="0" distL="0" distR="0" wp14:anchorId="64C4DEB0" wp14:editId="6F9FE95D">
                <wp:extent cx="6966585" cy="19050"/>
                <wp:effectExtent l="0" t="0" r="0" b="0"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6585" cy="19050"/>
                          <a:chOff x="1862700" y="3770475"/>
                          <a:chExt cx="6956450" cy="19050"/>
                        </a:xfrm>
                      </wpg:grpSpPr>
                      <wpg:grpSp>
                        <wpg:cNvPr id="1744849767" name="Group 1744849767"/>
                        <wpg:cNvGrpSpPr/>
                        <wpg:grpSpPr>
                          <a:xfrm>
                            <a:off x="1862708" y="3770475"/>
                            <a:ext cx="6956425" cy="15875"/>
                            <a:chOff x="0" y="0"/>
                            <a:chExt cx="10955" cy="25"/>
                          </a:xfrm>
                        </wpg:grpSpPr>
                        <wps:wsp>
                          <wps:cNvPr id="51722216" name="Rectangle 51722216"/>
                          <wps:cNvSpPr/>
                          <wps:spPr>
                            <a:xfrm>
                              <a:off x="0" y="0"/>
                              <a:ext cx="1095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F772F72" w14:textId="77777777" w:rsidR="003847CA" w:rsidRDefault="003847CA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4993362" name="Straight Arrow Connector 184993362"/>
                          <wps:cNvCnPr/>
                          <wps:spPr>
                            <a:xfrm>
                              <a:off x="15" y="15"/>
                              <a:ext cx="10940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0" distT="0" distL="0" distR="0">
                <wp:extent cx="6966585" cy="19050"/>
                <wp:effectExtent b="0" l="0" r="0" t="0"/>
                <wp:docPr id="18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658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7741E76C" w14:textId="77777777" w:rsidR="003847CA" w:rsidRDefault="003847CA">
      <w:pPr>
        <w:pStyle w:val="Heading2"/>
        <w:spacing w:line="276" w:lineRule="auto"/>
        <w:ind w:firstLine="540"/>
      </w:pPr>
    </w:p>
    <w:p w14:paraId="3657FECA" w14:textId="77777777" w:rsidR="003847CA" w:rsidRDefault="00000000">
      <w:pPr>
        <w:pStyle w:val="Heading2"/>
        <w:spacing w:line="276" w:lineRule="auto"/>
        <w:ind w:firstLine="540"/>
      </w:pPr>
      <w:r>
        <w:t>Project Finance Capital Raise – Construction, Term, and Tax Equity – Q1 2024</w:t>
      </w:r>
    </w:p>
    <w:p w14:paraId="68D65C3A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Leading capital market engagement, structuring, and diligence processes for $250-500M capital raise.</w:t>
      </w:r>
    </w:p>
    <w:p w14:paraId="029D1CE7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Developed structured finance package for capital markets. </w:t>
      </w:r>
    </w:p>
    <w:p w14:paraId="606A78BF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</w:pPr>
      <w:r>
        <w:rPr>
          <w:color w:val="000000"/>
          <w:sz w:val="20"/>
          <w:szCs w:val="20"/>
        </w:rPr>
        <w:t>Coordinating term sheet, LOI, and contract negotiations with capital partner and engaged legal teams.</w:t>
      </w:r>
    </w:p>
    <w:p w14:paraId="6FA72562" w14:textId="77777777" w:rsidR="003847CA" w:rsidRDefault="003847CA">
      <w:pPr>
        <w:pStyle w:val="Heading2"/>
        <w:spacing w:line="276" w:lineRule="auto"/>
        <w:ind w:firstLine="540"/>
      </w:pPr>
    </w:p>
    <w:p w14:paraId="7A5203F4" w14:textId="77777777" w:rsidR="003847CA" w:rsidRDefault="00000000">
      <w:pPr>
        <w:pStyle w:val="Heading2"/>
        <w:spacing w:line="276" w:lineRule="auto"/>
        <w:ind w:firstLine="540"/>
      </w:pPr>
      <w:r>
        <w:t>Acquisition of BTM Solar, Storage, and CHP Microgrid Project – Q4 2023</w:t>
      </w:r>
    </w:p>
    <w:p w14:paraId="376EA273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Led underwriting and due diligence for $24M solar, storage, and CHP microgrid project with an IG rated </w:t>
      </w:r>
      <w:proofErr w:type="spellStart"/>
      <w:r>
        <w:rPr>
          <w:color w:val="000000"/>
          <w:sz w:val="20"/>
          <w:szCs w:val="20"/>
        </w:rPr>
        <w:t>offtaker</w:t>
      </w:r>
      <w:proofErr w:type="spellEnd"/>
      <w:r>
        <w:rPr>
          <w:color w:val="000000"/>
          <w:sz w:val="20"/>
          <w:szCs w:val="20"/>
        </w:rPr>
        <w:t>.</w:t>
      </w:r>
    </w:p>
    <w:p w14:paraId="2A5AE487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Developed pitch deck and sourced capital for project level debt and tax equity commitments.</w:t>
      </w:r>
    </w:p>
    <w:p w14:paraId="7BFDE535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Identified key project risks and worked with legal team to mitigate in project documents.</w:t>
      </w:r>
    </w:p>
    <w:p w14:paraId="564F1E1C" w14:textId="77777777" w:rsidR="003847CA" w:rsidRDefault="003847CA">
      <w:pPr>
        <w:pStyle w:val="Heading2"/>
        <w:spacing w:line="276" w:lineRule="auto"/>
        <w:ind w:left="0"/>
      </w:pPr>
    </w:p>
    <w:p w14:paraId="3442FBC1" w14:textId="77777777" w:rsidR="003847CA" w:rsidRDefault="00000000">
      <w:pPr>
        <w:pStyle w:val="Heading2"/>
        <w:spacing w:line="276" w:lineRule="auto"/>
        <w:ind w:firstLine="540"/>
      </w:pPr>
      <w:r>
        <w:t>Financing and Development of 22 MW BTM Solar Development Portfolio – Q1 2023 (RFP)</w:t>
      </w:r>
    </w:p>
    <w:p w14:paraId="08C0DDF4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underwriting and due diligence for 22 MW solar development portfolio in California.</w:t>
      </w:r>
    </w:p>
    <w:p w14:paraId="6A0F8E03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  <w:tab w:val="left" w:pos="1080"/>
        </w:tabs>
        <w:spacing w:line="276" w:lineRule="auto"/>
        <w:ind w:left="1079" w:hanging="35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Worked with development partner to evaluate solar, solar + storage, and microgrid scenarios for 33 state-owned sites. </w:t>
      </w:r>
    </w:p>
    <w:p w14:paraId="71C80804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  <w:tab w:val="left" w:pos="1080"/>
        </w:tabs>
        <w:spacing w:line="276" w:lineRule="auto"/>
        <w:ind w:left="1079" w:hanging="35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Coordinated between developer and EPCs to provide PPA and solar operating lease solutions.</w:t>
      </w:r>
    </w:p>
    <w:p w14:paraId="21E8761E" w14:textId="77777777" w:rsidR="003847CA" w:rsidRDefault="003847CA">
      <w:pPr>
        <w:tabs>
          <w:tab w:val="left" w:pos="1079"/>
          <w:tab w:val="left" w:pos="1080"/>
        </w:tabs>
        <w:spacing w:before="1" w:line="276" w:lineRule="auto"/>
        <w:rPr>
          <w:sz w:val="20"/>
          <w:szCs w:val="20"/>
        </w:rPr>
      </w:pPr>
    </w:p>
    <w:p w14:paraId="6E082FB1" w14:textId="77777777" w:rsidR="003847CA" w:rsidRDefault="00000000">
      <w:pPr>
        <w:pStyle w:val="Heading2"/>
        <w:spacing w:line="276" w:lineRule="auto"/>
        <w:ind w:firstLine="540"/>
      </w:pPr>
      <w:r>
        <w:t>Financing and Development of 15 MW BTM Solar Development Portfolio – Q1 2023 (RFP)</w:t>
      </w:r>
    </w:p>
    <w:p w14:paraId="4B1A8E7D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underwriting and due diligence for 15 MW solar development portfolio in California.</w:t>
      </w:r>
    </w:p>
    <w:p w14:paraId="54D92E8C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  <w:tab w:val="left" w:pos="1080"/>
        </w:tabs>
        <w:spacing w:line="276" w:lineRule="auto"/>
        <w:ind w:left="1079" w:hanging="35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Directed and proposed financing options for canopy solar systems at 71 school district owned sites. </w:t>
      </w:r>
    </w:p>
    <w:p w14:paraId="2ADB823C" w14:textId="77777777" w:rsidR="003847CA" w:rsidRDefault="003847CA">
      <w:pPr>
        <w:pStyle w:val="Heading2"/>
        <w:spacing w:line="276" w:lineRule="auto"/>
        <w:ind w:left="0"/>
      </w:pPr>
    </w:p>
    <w:p w14:paraId="421FF550" w14:textId="77777777" w:rsidR="003847CA" w:rsidRDefault="00000000">
      <w:pPr>
        <w:pStyle w:val="Heading2"/>
        <w:spacing w:line="276" w:lineRule="auto"/>
        <w:ind w:firstLine="540"/>
      </w:pPr>
      <w:r>
        <w:t>Acquisition of 880 kW BTM Carport System – Q4 2022</w:t>
      </w:r>
    </w:p>
    <w:p w14:paraId="5F12DCC5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underwriting, due diligence, and acquisition for 880 kW solar development in southern California.</w:t>
      </w:r>
    </w:p>
    <w:p w14:paraId="71AC622E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  <w:tab w:val="left" w:pos="1080"/>
        </w:tabs>
        <w:spacing w:line="276" w:lineRule="auto"/>
        <w:ind w:left="1079" w:hanging="35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Managed negotiations with developer and </w:t>
      </w:r>
      <w:proofErr w:type="spellStart"/>
      <w:r>
        <w:rPr>
          <w:color w:val="000000"/>
          <w:sz w:val="20"/>
          <w:szCs w:val="20"/>
        </w:rPr>
        <w:t>offtaker</w:t>
      </w:r>
      <w:proofErr w:type="spellEnd"/>
      <w:r>
        <w:rPr>
          <w:color w:val="000000"/>
          <w:sz w:val="20"/>
          <w:szCs w:val="20"/>
        </w:rPr>
        <w:t xml:space="preserve"> to finalize PPA commercial terms, as well as O&amp;M and EPC Agreements</w:t>
      </w:r>
    </w:p>
    <w:p w14:paraId="7D3F7F22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79"/>
          <w:tab w:val="left" w:pos="1080"/>
        </w:tabs>
        <w:spacing w:line="276" w:lineRule="auto"/>
        <w:ind w:left="1079" w:hanging="359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Successfully negotiated and closed via a MIPA in &lt;45 days.</w:t>
      </w:r>
    </w:p>
    <w:p w14:paraId="07FD4872" w14:textId="77777777" w:rsidR="003847CA" w:rsidRDefault="00000000">
      <w:pPr>
        <w:pStyle w:val="Heading2"/>
        <w:spacing w:line="276" w:lineRule="auto"/>
        <w:ind w:firstLine="540"/>
      </w:pPr>
      <w:r>
        <w:br/>
        <w:t>Financing of 1.8 MW BTM Carport System – Q3 2022</w:t>
      </w:r>
    </w:p>
    <w:p w14:paraId="1AD0F217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Stepped into deal lead role with ESCO developer and municipal </w:t>
      </w:r>
      <w:proofErr w:type="spellStart"/>
      <w:r>
        <w:rPr>
          <w:color w:val="000000"/>
          <w:sz w:val="20"/>
          <w:szCs w:val="20"/>
        </w:rPr>
        <w:t>offtaker</w:t>
      </w:r>
      <w:proofErr w:type="spellEnd"/>
      <w:r>
        <w:rPr>
          <w:color w:val="000000"/>
          <w:sz w:val="20"/>
          <w:szCs w:val="20"/>
        </w:rPr>
        <w:t>.</w:t>
      </w:r>
    </w:p>
    <w:p w14:paraId="5CE42A6E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</w:pPr>
      <w:r>
        <w:rPr>
          <w:color w:val="000000"/>
          <w:sz w:val="20"/>
          <w:szCs w:val="20"/>
        </w:rPr>
        <w:t xml:space="preserve">Led pricing and finance presentations for the City including meeting with the Chief Sustainability Officer to refine project scope, funding options, and contract negotiation. </w:t>
      </w:r>
      <w:r>
        <w:rPr>
          <w:color w:val="000000"/>
        </w:rPr>
        <w:br/>
      </w:r>
    </w:p>
    <w:p w14:paraId="383CA224" w14:textId="77777777" w:rsidR="003847CA" w:rsidRDefault="00000000">
      <w:pPr>
        <w:pStyle w:val="Heading2"/>
        <w:spacing w:line="276" w:lineRule="auto"/>
        <w:ind w:firstLine="540"/>
      </w:pPr>
      <w:r>
        <w:t>Financing of 320 kW BTM Roof Mount Solar Development – Q2 2022</w:t>
      </w:r>
    </w:p>
    <w:p w14:paraId="0925134D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Led underwriting, due diligence, and financing for 320 kW solar development in southern California.</w:t>
      </w:r>
    </w:p>
    <w:p w14:paraId="6E622ABD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Determined a significant change in the </w:t>
      </w:r>
      <w:proofErr w:type="spellStart"/>
      <w:r>
        <w:rPr>
          <w:color w:val="000000"/>
          <w:sz w:val="20"/>
          <w:szCs w:val="20"/>
        </w:rPr>
        <w:t>offtaker’s</w:t>
      </w:r>
      <w:proofErr w:type="spellEnd"/>
      <w:r>
        <w:rPr>
          <w:color w:val="000000"/>
          <w:sz w:val="20"/>
          <w:szCs w:val="20"/>
        </w:rPr>
        <w:t xml:space="preserve"> rate schedule during due diligence, which lowered the project’s potential revenues by over 30%, and impacted potential proceeds.</w:t>
      </w:r>
    </w:p>
    <w:p w14:paraId="470E9696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Resized the loan package, presented to the credit committee, and led closing for term-only financing.</w:t>
      </w:r>
    </w:p>
    <w:p w14:paraId="15B3D123" w14:textId="77777777" w:rsidR="003847CA" w:rsidRDefault="003847CA">
      <w:pPr>
        <w:tabs>
          <w:tab w:val="left" w:pos="1080"/>
          <w:tab w:val="left" w:pos="1081"/>
        </w:tabs>
        <w:spacing w:line="276" w:lineRule="auto"/>
        <w:rPr>
          <w:sz w:val="20"/>
          <w:szCs w:val="20"/>
        </w:rPr>
      </w:pPr>
    </w:p>
    <w:p w14:paraId="2E6ADA9F" w14:textId="77777777" w:rsidR="003847CA" w:rsidRDefault="00000000">
      <w:pPr>
        <w:pStyle w:val="Heading2"/>
        <w:spacing w:line="276" w:lineRule="auto"/>
        <w:ind w:firstLine="540"/>
      </w:pPr>
      <w:r>
        <w:t>Financing of 16 MW C&amp;I Solar Development Portfolio – Q4 2021– Q1 2022</w:t>
      </w:r>
    </w:p>
    <w:p w14:paraId="5451D45C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Stepped in to lead financing role for an 18-site, 16 MW portfolio of C&amp;I projects in California. </w:t>
      </w:r>
    </w:p>
    <w:p w14:paraId="624CBC04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Successfully worked with the developer to compile required diligence items and reengage with multiple </w:t>
      </w:r>
      <w:proofErr w:type="spellStart"/>
      <w:r>
        <w:rPr>
          <w:color w:val="000000"/>
          <w:sz w:val="20"/>
          <w:szCs w:val="20"/>
        </w:rPr>
        <w:t>offtaker</w:t>
      </w:r>
      <w:proofErr w:type="spellEnd"/>
      <w:r>
        <w:rPr>
          <w:color w:val="000000"/>
          <w:sz w:val="20"/>
          <w:szCs w:val="20"/>
        </w:rPr>
        <w:t xml:space="preserve"> counterparties. </w:t>
      </w:r>
    </w:p>
    <w:p w14:paraId="34D5C330" w14:textId="77777777" w:rsidR="003847CA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081"/>
        </w:tabs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The deal ultimately died due to the firm pivoting to direct development and no longer offering financing products. </w:t>
      </w:r>
    </w:p>
    <w:p w14:paraId="07ADEB32" w14:textId="77777777" w:rsidR="003847CA" w:rsidRDefault="003847CA">
      <w:pPr>
        <w:pBdr>
          <w:top w:val="nil"/>
          <w:left w:val="nil"/>
          <w:bottom w:val="nil"/>
          <w:right w:val="nil"/>
          <w:between w:val="nil"/>
        </w:pBdr>
        <w:spacing w:before="48" w:line="276" w:lineRule="auto"/>
        <w:ind w:left="550" w:right="839"/>
        <w:rPr>
          <w:color w:val="000000"/>
          <w:sz w:val="20"/>
          <w:szCs w:val="20"/>
        </w:rPr>
      </w:pPr>
    </w:p>
    <w:p w14:paraId="3624A013" w14:textId="77777777" w:rsidR="003847CA" w:rsidRDefault="003847CA">
      <w:pPr>
        <w:rPr>
          <w:sz w:val="20"/>
          <w:szCs w:val="20"/>
        </w:rPr>
      </w:pPr>
    </w:p>
    <w:sectPr w:rsidR="003847CA">
      <w:headerReference w:type="default" r:id="rId16"/>
      <w:pgSz w:w="12240" w:h="15840"/>
      <w:pgMar w:top="1140" w:right="460" w:bottom="280" w:left="560" w:header="791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5D682" w14:textId="77777777" w:rsidR="00286731" w:rsidRDefault="00286731">
      <w:r>
        <w:separator/>
      </w:r>
    </w:p>
  </w:endnote>
  <w:endnote w:type="continuationSeparator" w:id="0">
    <w:p w14:paraId="7F27A878" w14:textId="77777777" w:rsidR="00286731" w:rsidRDefault="00286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1BB0" w14:textId="77777777" w:rsidR="00286731" w:rsidRDefault="00286731">
      <w:r>
        <w:separator/>
      </w:r>
    </w:p>
  </w:footnote>
  <w:footnote w:type="continuationSeparator" w:id="0">
    <w:p w14:paraId="38C1D04E" w14:textId="77777777" w:rsidR="00286731" w:rsidRDefault="002867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155A" w14:textId="77777777" w:rsidR="003847CA" w:rsidRDefault="0000000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mc:AlternateContent>
        <mc:Choice Requires="wpg">
          <w:drawing>
            <wp:anchor distT="0" distB="0" distL="0" distR="0" simplePos="0" relativeHeight="251658240" behindDoc="1" locked="0" layoutInCell="1" hidden="0" allowOverlap="1" wp14:anchorId="072B6739" wp14:editId="2723ACC8">
              <wp:simplePos x="0" y="0"/>
              <wp:positionH relativeFrom="page">
                <wp:posOffset>441007</wp:posOffset>
              </wp:positionH>
              <wp:positionV relativeFrom="page">
                <wp:posOffset>484823</wp:posOffset>
              </wp:positionV>
              <wp:extent cx="1878330" cy="26035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411598" y="3654588"/>
                        <a:ext cx="186880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E0F0B70" w14:textId="77777777" w:rsidR="003847CA" w:rsidRDefault="00000000">
                          <w:pPr>
                            <w:spacing w:before="6"/>
                            <w:ind w:left="20" w:firstLine="20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  <w:sz w:val="32"/>
                            </w:rPr>
                            <w:t xml:space="preserve">Jon Braun,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MBA, CAIA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441007</wp:posOffset>
              </wp:positionH>
              <wp:positionV relativeFrom="page">
                <wp:posOffset>484823</wp:posOffset>
              </wp:positionV>
              <wp:extent cx="1878330" cy="260350"/>
              <wp:effectExtent b="0" l="0" r="0" t="0"/>
              <wp:wrapNone/>
              <wp:docPr id="1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78330" cy="2603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D3474"/>
    <w:multiLevelType w:val="multilevel"/>
    <w:tmpl w:val="2CB6AA1C"/>
    <w:lvl w:ilvl="0">
      <w:numFmt w:val="bullet"/>
      <w:lvlText w:val="●"/>
      <w:lvlJc w:val="left"/>
      <w:pPr>
        <w:ind w:left="898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numFmt w:val="bullet"/>
      <w:lvlText w:val="•"/>
      <w:lvlJc w:val="left"/>
      <w:pPr>
        <w:ind w:left="2206" w:hanging="360"/>
      </w:pPr>
    </w:lvl>
    <w:lvl w:ilvl="3">
      <w:numFmt w:val="bullet"/>
      <w:lvlText w:val="•"/>
      <w:lvlJc w:val="left"/>
      <w:pPr>
        <w:ind w:left="3333" w:hanging="360"/>
      </w:pPr>
    </w:lvl>
    <w:lvl w:ilvl="4">
      <w:numFmt w:val="bullet"/>
      <w:lvlText w:val="•"/>
      <w:lvlJc w:val="left"/>
      <w:pPr>
        <w:ind w:left="4460" w:hanging="360"/>
      </w:pPr>
    </w:lvl>
    <w:lvl w:ilvl="5">
      <w:numFmt w:val="bullet"/>
      <w:lvlText w:val="•"/>
      <w:lvlJc w:val="left"/>
      <w:pPr>
        <w:ind w:left="5586" w:hanging="360"/>
      </w:pPr>
    </w:lvl>
    <w:lvl w:ilvl="6">
      <w:numFmt w:val="bullet"/>
      <w:lvlText w:val="•"/>
      <w:lvlJc w:val="left"/>
      <w:pPr>
        <w:ind w:left="6713" w:hanging="360"/>
      </w:pPr>
    </w:lvl>
    <w:lvl w:ilvl="7">
      <w:numFmt w:val="bullet"/>
      <w:lvlText w:val="•"/>
      <w:lvlJc w:val="left"/>
      <w:pPr>
        <w:ind w:left="7840" w:hanging="360"/>
      </w:pPr>
    </w:lvl>
    <w:lvl w:ilvl="8">
      <w:numFmt w:val="bullet"/>
      <w:lvlText w:val="•"/>
      <w:lvlJc w:val="left"/>
      <w:pPr>
        <w:ind w:left="8966" w:hanging="360"/>
      </w:pPr>
    </w:lvl>
  </w:abstractNum>
  <w:abstractNum w:abstractNumId="1" w15:restartNumberingAfterBreak="0">
    <w:nsid w:val="6B49162C"/>
    <w:multiLevelType w:val="multilevel"/>
    <w:tmpl w:val="AB3EDB9E"/>
    <w:lvl w:ilvl="0">
      <w:numFmt w:val="bullet"/>
      <w:lvlText w:val="●"/>
      <w:lvlJc w:val="left"/>
      <w:pPr>
        <w:ind w:left="1078" w:hanging="359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2096" w:hanging="359"/>
      </w:pPr>
    </w:lvl>
    <w:lvl w:ilvl="2">
      <w:numFmt w:val="bullet"/>
      <w:lvlText w:val="•"/>
      <w:lvlJc w:val="left"/>
      <w:pPr>
        <w:ind w:left="3112" w:hanging="359"/>
      </w:pPr>
    </w:lvl>
    <w:lvl w:ilvl="3">
      <w:numFmt w:val="bullet"/>
      <w:lvlText w:val="•"/>
      <w:lvlJc w:val="left"/>
      <w:pPr>
        <w:ind w:left="4128" w:hanging="358"/>
      </w:pPr>
    </w:lvl>
    <w:lvl w:ilvl="4">
      <w:numFmt w:val="bullet"/>
      <w:lvlText w:val="•"/>
      <w:lvlJc w:val="left"/>
      <w:pPr>
        <w:ind w:left="5144" w:hanging="359"/>
      </w:pPr>
    </w:lvl>
    <w:lvl w:ilvl="5">
      <w:numFmt w:val="bullet"/>
      <w:lvlText w:val="•"/>
      <w:lvlJc w:val="left"/>
      <w:pPr>
        <w:ind w:left="6160" w:hanging="359"/>
      </w:pPr>
    </w:lvl>
    <w:lvl w:ilvl="6">
      <w:numFmt w:val="bullet"/>
      <w:lvlText w:val="•"/>
      <w:lvlJc w:val="left"/>
      <w:pPr>
        <w:ind w:left="7176" w:hanging="359"/>
      </w:pPr>
    </w:lvl>
    <w:lvl w:ilvl="7">
      <w:numFmt w:val="bullet"/>
      <w:lvlText w:val="•"/>
      <w:lvlJc w:val="left"/>
      <w:pPr>
        <w:ind w:left="8192" w:hanging="358"/>
      </w:pPr>
    </w:lvl>
    <w:lvl w:ilvl="8">
      <w:numFmt w:val="bullet"/>
      <w:lvlText w:val="•"/>
      <w:lvlJc w:val="left"/>
      <w:pPr>
        <w:ind w:left="9208" w:hanging="359"/>
      </w:pPr>
    </w:lvl>
  </w:abstractNum>
  <w:num w:numId="1" w16cid:durableId="164170608">
    <w:abstractNumId w:val="0"/>
  </w:num>
  <w:num w:numId="2" w16cid:durableId="770781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CA"/>
    <w:rsid w:val="00286731"/>
    <w:rsid w:val="003847CA"/>
    <w:rsid w:val="00C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848D"/>
  <w15:docId w15:val="{67901D80-8CE3-44BD-84FF-F0E411905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9"/>
      <w:ind w:left="180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54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38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BD09C9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BD09C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BD09C9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238C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238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8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7E9B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nbraunmba/" TargetMode="External"/><Relationship Id="rId13" Type="http://schemas.openxmlformats.org/officeDocument/2006/relationships/hyperlink" Target="mailto:jon.braun10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linkedin.com/in/jonbraunmba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MPZJhW+pd3xi1SaMIeK6KNH9g==">CgMxLjAyCWlkLmdqZGd4czIKaWQuMzBqMHpsbDIKaWQuMWZvYjl0ZTgAciExNHJDR0R4bkRkNy1iUHFzdTh0X014Y3RQZkNlOHB3ZVE=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1052</Words>
  <Characters>6000</Characters>
  <Application>Microsoft Office Word</Application>
  <DocSecurity>0</DocSecurity>
  <Lines>50</Lines>
  <Paragraphs>14</Paragraphs>
  <ScaleCrop>false</ScaleCrop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CNTGroup Support</dc:creator>
  <cp:lastModifiedBy>Jon Braun</cp:lastModifiedBy>
  <cp:revision>2</cp:revision>
  <dcterms:created xsi:type="dcterms:W3CDTF">2024-02-02T18:14:00Z</dcterms:created>
  <dcterms:modified xsi:type="dcterms:W3CDTF">2024-02-21T18:02:00Z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2021-04-06T00:00:00Z</vt:filetime>
  </property>
</Properties>
</file>