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Medway</w:t>
            </w:r>
          </w:p>
        </w:tc>
        <w:tc>
          <w:tcPr>
            <w:tcW w:type="dxa" w:w="2880"/>
          </w:tcPr>
          <w:p>
            <w:r>
              <w:rPr>
                <w:b/>
              </w:rPr>
              <w:t>ME 25 0924</w:t>
            </w:r>
          </w:p>
        </w:tc>
      </w:tr>
    </w:tbl>
    <w:p>
      <w:r>
        <w:t>____________________________________________________________________________________________________</w:t>
      </w:r>
    </w:p>
    <w:p>
      <w:r>
        <w:rPr>
          <w:b/>
        </w:rPr>
        <w:t>Occupation &amp; Non-Molestation Orders</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 of the child</w:t>
            </w:r>
          </w:p>
        </w:tc>
        <w:tc>
          <w:tcPr>
            <w:tcW w:type="dxa" w:w="2880"/>
          </w:tcPr>
          <w:p>
            <w:r>
              <w:t>Boy or Girl</w:t>
            </w:r>
          </w:p>
        </w:tc>
        <w:tc>
          <w:tcPr>
            <w:tcW w:type="dxa" w:w="2880"/>
          </w:tcPr>
          <w:p>
            <w:r>
              <w:t>Date of Birth</w:t>
            </w:r>
          </w:p>
        </w:tc>
      </w:tr>
      <w:tr>
        <w:tc>
          <w:tcPr>
            <w:tcW w:type="dxa" w:w="2880"/>
          </w:tcPr>
          <w:p>
            <w:r>
              <w:t>Jasmine Appleyard</w:t>
            </w:r>
          </w:p>
        </w:tc>
        <w:tc>
          <w:tcPr>
            <w:tcW w:type="dxa" w:w="2880"/>
          </w:tcPr>
          <w:p>
            <w:r>
              <w:t>girl</w:t>
            </w:r>
          </w:p>
        </w:tc>
        <w:tc>
          <w:tcPr>
            <w:tcW w:type="dxa" w:w="2880"/>
          </w:tcPr>
          <w:p>
            <w:r>
              <w:t>11 Jun 2018</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BRIAN  APPLEYARD  of FLAT 2,  HOPELESS BUILDINGS  THORPE  PH38 7P.</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24 May 2025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Christina Appleyard represented by   The respondent is Brian Appleyard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 within the meaning of the Family Law Act 1995 is:</w:t>
      </w:r>
    </w:p>
    <w:p>
      <w:r>
        <w:tab/>
        <w:t>a</w:t>
        <w:tab/>
        <w:t>Jasmine Appleyard, a girl born on 11/06/2018.</w:t>
      </w:r>
    </w:p>
    <w:p>
      <w:pPr>
        <w:pStyle w:val="ListNumber"/>
      </w:pPr>
      <w:r>
        <w:t>The "family home" is the property at 1, The Chantry Abinger Hammer Polegate BN287 989</w:t>
      </w:r>
    </w:p>
    <w:p>
      <w:r>
        <w:rPr>
          <w:b/>
        </w:rPr>
        <w:t>IT IS ORDERED</w:t>
      </w:r>
    </w:p>
    <w:p>
      <w:pPr>
        <w:pStyle w:val="ListNumber"/>
      </w:pPr>
      <w:r>
        <w:t>This order shall be effective against the respondent Brian Appleyard once it is personally served on him.</w:t>
      </w:r>
    </w:p>
    <w:p>
      <w:pPr>
        <w:pStyle w:val="ListNumber"/>
      </w:pPr>
      <w:r>
        <w:t>This order shall last until 24 November 2025 unless it is set aside or varied before then by an order of the court.</w:t>
      </w:r>
    </w:p>
    <w:p>
      <w:pPr>
        <w:pStyle w:val="ListNumber"/>
      </w:pPr>
      <w:r>
        <w:t>The respondent Brian Appleyard must not use or threaten violence against the applicant Christina Appleyard and must not instruct, encourage or in any way suggest any other person should do so.</w:t>
      </w:r>
    </w:p>
    <w:p>
      <w:pPr>
        <w:pStyle w:val="ListNumber"/>
      </w:pPr>
      <w:r>
        <w:t>The respondent Brian Appleyard must not intimidate, harass or pester the applicant Christina Appleyard  and must not instruct, encourage or in any way suggest any other person should do so.</w:t>
      </w:r>
    </w:p>
    <w:p>
      <w:pPr>
        <w:pStyle w:val="ListNumber"/>
      </w:pPr>
      <w:r>
        <w:t>The respondent, Brian Appleyard, must not telephone, text, email or otherwise contact the applicant Christina Appleyard, including via social networking websites or other forms of electronic messaging.</w:t>
      </w:r>
    </w:p>
    <w:p>
      <w:pPr>
        <w:pStyle w:val="ListNumber"/>
      </w:pPr>
      <w:r>
        <w:t>The respondent, Brian Appleyard, must not damage, attempt to damage or threaten to damageany property owned by or in the possession or controlof the applicant Christina Appleyard,and must not instruct,encourage or in any way suggest that any other person should do so.</w:t>
      </w:r>
    </w:p>
    <w:p>
      <w:pPr>
        <w:pStyle w:val="ListNumber"/>
      </w:pPr>
      <w:r>
        <w:t>The respondent Brian Appleyard, must not damage, attempt to damage or threaten to damagethe property or contents of 1, The Chantry, Abinger Hammer, Polegate, BN287 989 and must not instruct, encourage or in any way suggestthat any other person should do so.</w:t>
      </w:r>
    </w:p>
    <w:p>
      <w:pPr>
        <w:pStyle w:val="ListNumber"/>
      </w:pPr>
      <w:r>
        <w:t>The respondent Brian Appleyard, must not go to, enter or attempt to enter 1, The Chantry, Abinger Hammer, Polegate, BN287 989 or  any property where he believes the applicant Christina Appleyard to be living.</w:t>
      </w:r>
    </w:p>
    <w:p>
      <w:pPr>
        <w:pStyle w:val="ListNumber"/>
      </w:pPr>
      <w:r>
        <w:t>The respondent Brian Appleyard, must not go to, enter or attempt to enter 1, The Chantry, Abinger Hammer, Polegate, BN287 989 or  any property where he believes the applicant Christina Appleyard to be living.</w:t>
      </w:r>
    </w:p>
    <w:p>
      <w:pPr>
        <w:pStyle w:val="ListNumber"/>
      </w:pPr>
      <w:r>
        <w:t>The Respondent Brian Appleyard, must not use or threaten violence against the relevant child  and must not instruct, encourage or in any way suggest that any other person should do so.</w:t>
      </w:r>
    </w:p>
    <w:p>
      <w:pPr>
        <w:pStyle w:val="ListNumber"/>
      </w:pPr>
      <w:r>
        <w:t>The respondent Brian Appleyard, must not telephone, text,email or otherwise contact or attempt  the relevant child including via social networking websites or other forms of electronic messaging.</w:t>
      </w:r>
    </w:p>
    <w:p>
      <w:pPr>
        <w:pStyle w:val="ListNumber"/>
      </w:pPr>
      <w:r>
        <w:t>The court declares that the applicant Christina Appleyard, has home rights in 1, The Chantry, Abinger Hammer, Polegate, BN287 989.</w:t>
      </w:r>
    </w:p>
    <w:p>
      <w:pPr>
        <w:pStyle w:val="ListNumber"/>
      </w:pPr>
      <w:r>
        <w:t>The respondent, Brian Appleyard, shall allow the applicant, Christina Appleyard, to occupy the property at 1, The Chantry, Abinger Hammer, Polegate, BN287 989.</w:t>
      </w:r>
    </w:p>
    <w:p>
      <w:pPr>
        <w:pStyle w:val="ListNumber"/>
      </w:pPr>
      <w:r>
        <w:t>The respondent, Brian Appleyard, must not occupy the property at 1, The Chantry, Abinger Hammer, Polegate, BN287 989</w:t>
      </w:r>
    </w:p>
    <w:p>
      <w:pPr>
        <w:pStyle w:val="ListNumber"/>
      </w:pPr>
      <w:r>
        <w:t>The respondent Brian Appleyard, shall leave the property at 1, The Chantry, Abinger Hammer, Polegate, BN287 989  by 4:00 pm on 2025-05-31</w:t>
      </w:r>
    </w:p>
    <w:p>
      <w:pPr>
        <w:pStyle w:val="ListNumber"/>
      </w:pPr>
      <w:r>
        <w:t>Having left 1, The Chantry, Abinger Hammer, Polegate, BN287 989, the respondent Brian Appleyard, must not return to, enter or attempt to enter it.</w:t>
      </w:r>
    </w:p>
    <w:p>
      <w:r>
        <w:t>_____</w:t>
      </w:r>
    </w:p>
    <w:p>
      <w:r>
        <w:t>Deputy District Judge Campbell</w:t>
      </w:r>
    </w:p>
    <w:p/>
    <w:p>
      <w:r>
        <w:t>24 May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