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40" w:lineRule="auto"/>
        <w:jc w:val="left"/>
      </w:pPr>
      <w:r>
        <w:rPr>
          <w:rFonts w:ascii="Arial" w:hAnsi="Arial" w:eastAsia="Microsoft YaHei"/>
          <w:b w:val="0"/>
          <w:i w:val="0"/>
          <w:color w:val="000000"/>
          <w:sz w:val="52"/>
          <w:u w:val="none"/>
        </w:rPr>
        <w:t>Hardcore Deep Dive: The End-to-End RAG Pipeline from Offline Cleaning to Online Retrieval</w:t>
      </w:r>
    </w:p>
    <w:p>
      <w:pPr>
        <w:spacing w:before="0" w:after="160" w:line="276" w:lineRule="auto"/>
      </w:pPr>
      <w:r>
        <w:rPr>
          <w:rFonts w:ascii="Arial" w:hAnsi="Arial" w:eastAsia="Microsoft YaHei"/>
          <w:b/>
          <w:i w:val="0"/>
          <w:color w:val="000000"/>
          <w:sz w:val="22"/>
          <w:u w:val="none"/>
        </w:rPr>
        <w:t>Abstract:</w:t>
      </w:r>
      <w:r>
        <w:rPr>
          <w:rFonts w:ascii="Arial" w:hAnsi="Arial" w:eastAsia="Microsoft YaHei"/>
          <w:b w:val="0"/>
          <w:i w:val="0"/>
          <w:color w:val="000000"/>
          <w:sz w:val="22"/>
          <w:u w:val="none"/>
        </w:rPr>
        <w:t xml:space="preserve"> Why do enterprises prefer RAG to fine-tuning when deploying large language models? This article breaks down the standard RAG workflow from the ground up. From multimodal parsing of offline data and contrastive-learning-based embedding training to online hybrid retrieval, reranking, and prompt assembly, it unpacks how vector databases work under the hood across the full pipeline.</w:t>
      </w:r>
    </w:p>
    <w:p>
      <w:pPr>
        <w:spacing w:before="0" w:after="160" w:line="276" w:lineRule="auto"/>
      </w:pPr>
      <w:r>
        <w:rPr>
          <w:rFonts w:ascii="Arial" w:hAnsi="Arial" w:eastAsia="Microsoft YaHei"/>
          <w:b w:val="0"/>
          <w:i w:val="0"/>
          <w:color w:val="000000"/>
          <w:sz w:val="22"/>
          <w:u w:val="none"/>
        </w:rPr>
        <w:t>The standard RAG workflow can be divided into offline preparation and online retrieval.</w:t>
      </w:r>
    </w:p>
    <w:p>
      <w:pPr>
        <w:pStyle w:val="Heading1"/>
        <w:spacing w:before="400" w:after="120" w:line="240" w:lineRule="auto"/>
      </w:pPr>
      <w:r>
        <w:rPr>
          <w:rFonts w:ascii="Arial" w:hAnsi="Arial" w:eastAsia="Microsoft YaHei"/>
          <w:b w:val="0"/>
          <w:i w:val="0"/>
          <w:color w:val="000000"/>
          <w:sz w:val="40"/>
          <w:u w:val="none"/>
        </w:rPr>
        <w:t>Knowledge Base Vectorization (Offline)</w:t>
      </w:r>
    </w:p>
    <w:p>
      <w:pPr>
        <w:spacing w:before="0" w:after="160" w:line="276" w:lineRule="auto"/>
      </w:pPr>
      <w:r>
        <w:rPr>
          <w:rFonts w:ascii="Arial" w:hAnsi="Arial" w:eastAsia="Microsoft YaHei"/>
          <w:b w:val="0"/>
          <w:i w:val="0"/>
          <w:color w:val="000000"/>
          <w:sz w:val="22"/>
          <w:u w:val="none"/>
        </w:rPr>
        <w:t>Enterprise materials such as product manuals, financial reports, and internal policies are split into small chunks, converted into vectors by an Embedding model, and then stored in a vector database.</w:t>
      </w:r>
    </w:p>
    <w:p>
      <w:pPr>
        <w:pStyle w:val="Heading2"/>
        <w:spacing w:before="360" w:after="120" w:line="240" w:lineRule="auto"/>
      </w:pPr>
      <w:r>
        <w:rPr>
          <w:rFonts w:ascii="Arial" w:hAnsi="Arial" w:eastAsia="Microsoft YaHei"/>
          <w:b w:val="0"/>
          <w:i w:val="0"/>
          <w:color w:val="000000"/>
          <w:sz w:val="32"/>
          <w:u w:val="none"/>
        </w:rPr>
        <w:t>Data Preparation and Cleaning</w:t>
      </w:r>
    </w:p>
    <w:p>
      <w:pPr>
        <w:spacing w:before="0" w:after="160" w:line="276" w:lineRule="auto"/>
      </w:pPr>
      <w:r>
        <w:rPr>
          <w:rFonts w:ascii="Arial" w:hAnsi="Arial" w:eastAsia="Microsoft YaHei"/>
          <w:b w:val="0"/>
          <w:i w:val="0"/>
          <w:color w:val="000000"/>
          <w:sz w:val="22"/>
          <w:u w:val="none"/>
        </w:rPr>
        <w:t>Raw enterprise documents come in many formats and often contain a lot of useless or noisy content, so they need to go through parsing and cleaning.</w:t>
      </w:r>
    </w:p>
    <w:p>
      <w:pPr>
        <w:pStyle w:val="ListNumber"/>
        <w:spacing w:before="0" w:after="80" w:line="276" w:lineRule="auto"/>
        <w:ind w:left="720" w:hanging="360"/>
      </w:pPr>
      <w:r>
        <w:rPr>
          <w:rFonts w:ascii="Arial" w:hAnsi="Arial" w:eastAsia="Microsoft YaHei"/>
          <w:b w:val="0"/>
          <w:i w:val="0"/>
          <w:color w:val="000000"/>
          <w:sz w:val="22"/>
          <w:u w:val="none"/>
        </w:rPr>
        <w:t>Format unpacking and routing. Different file formats such as PDF, Word, PPT, and HTML are handled by different low-level drivers. For example, `PyMuPDF` can process born-digital PDFs, while `python-docx` handles Word files. After that, the files are broken down into raw text streams or page images.</w:t>
      </w:r>
    </w:p>
    <w:p>
      <w:pPr>
        <w:pStyle w:val="ListNumber"/>
        <w:spacing w:before="0" w:after="80" w:line="276" w:lineRule="auto"/>
        <w:ind w:left="720" w:hanging="360"/>
      </w:pPr>
      <w:r>
        <w:rPr>
          <w:rFonts w:ascii="Arial" w:hAnsi="Arial" w:eastAsia="Microsoft YaHei"/>
          <w:b w:val="0"/>
          <w:i w:val="0"/>
          <w:color w:val="000000"/>
          <w:sz w:val="22"/>
          <w:u w:val="none"/>
        </w:rPr>
        <w:t>Layout analysis and element localization. Modern systems use multimodal models with both visual and semantic understanding, such as LayoutLM and YOLO-V8, to divide a page into different bounding boxes and label them as Text, Title, Table, Header, or Footer. Spatial relationships are then used to restore the correct reading order.</w:t>
      </w:r>
    </w:p>
    <w:p>
      <w:pPr>
        <w:pStyle w:val="ListNumber"/>
        <w:spacing w:before="0" w:after="80" w:line="276" w:lineRule="auto"/>
        <w:ind w:left="720" w:hanging="360"/>
      </w:pPr>
      <w:r>
        <w:rPr>
          <w:rFonts w:ascii="Arial" w:hAnsi="Arial" w:eastAsia="Microsoft YaHei"/>
          <w:b w:val="0"/>
          <w:i w:val="0"/>
          <w:color w:val="000000"/>
          <w:sz w:val="22"/>
          <w:u w:val="none"/>
        </w:rPr>
        <w:t>Structured conversion. Non-text regions identified in the previous step are further processed. Tables can be recognized by Table Transformer or advanced OCR models, then converted into Markdown with layout information or into HTML, both of which preserve semantic structure better for downstream models. Images can be passed through captioning models such as BLIP-2 or Qwen-VL to generate dense textual descriptions of product diagrams, architecture figures, and other visuals.</w:t>
      </w:r>
    </w:p>
    <w:p>
      <w:pPr>
        <w:pStyle w:val="ListNumber"/>
        <w:spacing w:before="0" w:after="80" w:line="276" w:lineRule="auto"/>
        <w:ind w:left="720" w:hanging="360"/>
      </w:pPr>
      <w:r>
        <w:rPr>
          <w:rFonts w:ascii="Arial" w:hAnsi="Arial" w:eastAsia="Microsoft YaHei"/>
          <w:b w:val="0"/>
          <w:i w:val="0"/>
          <w:color w:val="000000"/>
          <w:sz w:val="22"/>
          <w:u w:val="none"/>
        </w:rPr>
        <w:t>Rule-based cleaning and noise removal. Once an initial text draft is available, automated scripts and rule engines are used to clean it up. Regex-based cleaning removes OCR gibberish, extra line breaks, and meaningless whitespace. Position-based filtering removes headers, footers, page numbers, disclaimers, and ad blocks. Text normalization then unifies simplified and traditional Chinese variants, full-width and half-width characters, and punctuation conventions.</w:t>
      </w:r>
    </w:p>
    <w:p>
      <w:pPr>
        <w:spacing w:before="0" w:after="160" w:line="276" w:lineRule="auto"/>
      </w:pPr>
      <w:r>
        <w:rPr>
          <w:rFonts w:ascii="Arial" w:hAnsi="Arial" w:eastAsia="Microsoft YaHei"/>
          <w:b w:val="0"/>
          <w:i w:val="0"/>
          <w:color w:val="000000"/>
          <w:sz w:val="22"/>
          <w:u w:val="none"/>
        </w:rPr>
        <w:t>In real engineering deployments, two main approaches are commonly used.</w:t>
      </w:r>
    </w:p>
    <w:p>
      <w:pPr>
        <w:pStyle w:val="ListBullet"/>
        <w:spacing w:before="0" w:after="80" w:line="276" w:lineRule="auto"/>
        <w:ind w:left="720" w:hanging="360"/>
      </w:pPr>
      <w:r>
        <w:rPr>
          <w:rFonts w:ascii="Arial" w:hAnsi="Arial" w:eastAsia="Microsoft YaHei"/>
          <w:b w:val="0"/>
          <w:i w:val="0"/>
          <w:color w:val="000000"/>
          <w:sz w:val="22"/>
          <w:u w:val="none"/>
        </w:rPr>
        <w:t>Modular Pipeline: layout analysis, OCR, table extraction, and image captioning are assigned to specialized smaller models. The advantages are high speed, low cost, and strong controllability for standard documents.</w:t>
      </w:r>
    </w:p>
    <w:p>
      <w:pPr>
        <w:pStyle w:val="ListBullet"/>
        <w:spacing w:before="0" w:after="80" w:line="276" w:lineRule="auto"/>
        <w:ind w:left="720" w:hanging="360"/>
      </w:pPr>
      <w:r>
        <w:rPr>
          <w:rFonts w:ascii="Arial" w:hAnsi="Arial" w:eastAsia="Microsoft YaHei"/>
          <w:b w:val="0"/>
          <w:i w:val="0"/>
          <w:color w:val="000000"/>
          <w:sz w:val="22"/>
          <w:u w:val="none"/>
        </w:rPr>
        <w:t>End-to-End Multimodal Large Models (VLMs): the PDF page is fed directly as an image into a model such as Qwen2-VL or a document parsing model like Nougat or Marker, which outputs well-formatted Markdown in one pass. The advantage is high accuracy, especially for formulas and complex tables; the downside is heavy compute usage and slower speed.</w:t>
      </w:r>
    </w:p>
    <w:p>
      <w:pPr>
        <w:pStyle w:val="Heading2"/>
        <w:spacing w:before="360" w:after="120" w:line="240" w:lineRule="auto"/>
      </w:pPr>
      <w:r>
        <w:rPr>
          <w:rFonts w:ascii="Arial" w:hAnsi="Arial" w:eastAsia="Microsoft YaHei"/>
          <w:b w:val="0"/>
          <w:i w:val="0"/>
          <w:color w:val="000000"/>
          <w:sz w:val="32"/>
          <w:u w:val="none"/>
        </w:rPr>
        <w:t>How Do We Split Documents into Chunks?</w:t>
      </w:r>
    </w:p>
    <w:p>
      <w:pPr>
        <w:spacing w:before="0" w:after="160" w:line="276" w:lineRule="auto"/>
      </w:pPr>
      <w:r>
        <w:rPr>
          <w:rFonts w:ascii="Arial" w:hAnsi="Arial" w:eastAsia="Microsoft YaHei"/>
          <w:b w:val="0"/>
          <w:i w:val="0"/>
          <w:color w:val="000000"/>
          <w:sz w:val="22"/>
          <w:u w:val="none"/>
        </w:rPr>
        <w:t>Modern RAG chunking revolves around semantic completeness.</w:t>
      </w:r>
    </w:p>
    <w:p>
      <w:pPr>
        <w:spacing w:before="0" w:after="160" w:line="276" w:lineRule="auto"/>
      </w:pPr>
      <w:r>
        <w:rPr>
          <w:rFonts w:ascii="Arial" w:hAnsi="Arial" w:eastAsia="Microsoft YaHei"/>
          <w:b w:val="0"/>
          <w:i w:val="0"/>
          <w:color w:val="000000"/>
          <w:sz w:val="22"/>
          <w:u w:val="none"/>
        </w:rPr>
        <w:t>Detailed reference:</w:t>
      </w:r>
    </w:p>
    <w:p>
      <w:pPr>
        <w:spacing w:before="0" w:after="160" w:line="276" w:lineRule="auto"/>
      </w:pPr>
      <w:r>
        <w:rPr>
          <w:rFonts w:ascii="Arial" w:hAnsi="Arial" w:eastAsia="Microsoft YaHei"/>
          <w:b w:val="0"/>
          <w:i w:val="0"/>
          <w:color w:val="1155CC"/>
          <w:sz w:val="22"/>
          <w:u w:val="single"/>
        </w:rPr>
        <w:t>https://docs.google.com/document/d/104QkhBRxlJFwZx8NukOpWAEyzFWjXP2ojzMDp_bi6p4/edit?pli=1&amp;tab=t.0</w:t>
      </w:r>
    </w:p>
    <w:p>
      <w:pPr>
        <w:pStyle w:val="Heading2"/>
        <w:spacing w:before="360" w:after="120" w:line="240" w:lineRule="auto"/>
      </w:pPr>
      <w:r>
        <w:rPr>
          <w:rFonts w:ascii="Arial" w:hAnsi="Arial" w:eastAsia="Microsoft YaHei"/>
          <w:b w:val="0"/>
          <w:i w:val="0"/>
          <w:color w:val="000000"/>
          <w:sz w:val="32"/>
          <w:u w:val="none"/>
        </w:rPr>
        <w:t>How Does an Embedding Model Turn Chunks into Vectors?</w:t>
      </w:r>
    </w:p>
    <w:p>
      <w:pPr>
        <w:spacing w:before="0" w:after="160" w:line="276" w:lineRule="auto"/>
      </w:pPr>
      <w:r>
        <w:rPr>
          <w:rFonts w:ascii="Arial" w:hAnsi="Arial" w:eastAsia="Microsoft YaHei"/>
          <w:b w:val="0"/>
          <w:i w:val="0"/>
          <w:color w:val="000000"/>
          <w:sz w:val="22"/>
          <w:u w:val="none"/>
        </w:rPr>
        <w:t>At its core, an Embedding model is built on the Transformer architecture and encodes a passage into contextualized representations that carry semantic meaning. Because a passage contains many tokens, a pooling step is needed to collapse token-level states into a single vector. In production systems, mean pooling is the common default, while CLS-token pooling exists but is less widely used. In simple terms, the semantic matrix produced by the previous step is aggregated into one vector, and that vector is stored together with its original metadata in the vector database.</w:t>
      </w:r>
    </w:p>
    <w:p>
      <w:pPr>
        <w:pStyle w:val="Heading2"/>
        <w:spacing w:before="360" w:after="120" w:line="240" w:lineRule="auto"/>
      </w:pPr>
      <w:r>
        <w:rPr>
          <w:rFonts w:ascii="Arial" w:hAnsi="Arial" w:eastAsia="Microsoft YaHei"/>
          <w:b w:val="0"/>
          <w:i w:val="0"/>
          <w:color w:val="000000"/>
          <w:sz w:val="32"/>
          <w:u w:val="none"/>
        </w:rPr>
        <w:t>How Is an Embedding Model Trained?</w:t>
      </w:r>
    </w:p>
    <w:p>
      <w:pPr>
        <w:spacing w:before="0" w:after="160" w:line="276" w:lineRule="auto"/>
      </w:pPr>
      <w:r>
        <w:rPr>
          <w:rFonts w:ascii="Arial" w:hAnsi="Arial" w:eastAsia="Microsoft YaHei"/>
          <w:b w:val="0"/>
          <w:i w:val="0"/>
          <w:color w:val="000000"/>
          <w:sz w:val="22"/>
          <w:u w:val="none"/>
        </w:rPr>
        <w:t>At the architecture level, the idea is straightforward: Transformer + pooling layer.</w:t>
      </w:r>
    </w:p>
    <w:p>
      <w:pPr>
        <w:spacing w:before="0" w:after="160" w:line="276" w:lineRule="auto"/>
      </w:pPr>
      <w:r>
        <w:rPr>
          <w:rFonts w:ascii="Arial" w:hAnsi="Arial" w:eastAsia="Microsoft YaHei"/>
          <w:b w:val="0"/>
          <w:i w:val="0"/>
          <w:color w:val="000000"/>
          <w:sz w:val="22"/>
          <w:u w:val="none"/>
        </w:rPr>
        <w:t>The core training idea is contrastive learning.</w:t>
      </w:r>
    </w:p>
    <w:p>
      <w:pPr>
        <w:pStyle w:val="Heading3"/>
        <w:spacing w:before="320" w:after="80" w:line="240" w:lineRule="auto"/>
      </w:pPr>
      <w:r>
        <w:rPr>
          <w:rFonts w:ascii="Arial" w:hAnsi="Arial" w:eastAsia="Microsoft YaHei"/>
          <w:b w:val="0"/>
          <w:i w:val="0"/>
          <w:color w:val="434343"/>
          <w:sz w:val="28"/>
          <w:u w:val="none"/>
        </w:rPr>
        <w:t>Training Data</w:t>
      </w:r>
    </w:p>
    <w:p>
      <w:pPr>
        <w:spacing w:before="0" w:after="160" w:line="276" w:lineRule="auto"/>
      </w:pPr>
      <w:r>
        <w:rPr>
          <w:rFonts w:ascii="Arial" w:hAnsi="Arial" w:eastAsia="Microsoft YaHei"/>
          <w:b w:val="0"/>
          <w:i w:val="0"/>
          <w:color w:val="000000"/>
          <w:sz w:val="22"/>
          <w:u w:val="none"/>
        </w:rPr>
        <w:t>To train a strong Embedding model, you need massive amounts of triplet data in the form of (q, p+, p-):</w:t>
      </w:r>
    </w:p>
    <w:p>
      <w:pPr>
        <w:pStyle w:val="ListBullet"/>
        <w:spacing w:before="0" w:after="80" w:line="276" w:lineRule="auto"/>
        <w:ind w:left="720" w:hanging="360"/>
      </w:pPr>
      <w:r>
        <w:rPr>
          <w:rFonts w:ascii="Arial" w:hAnsi="Arial" w:eastAsia="Microsoft YaHei"/>
          <w:b w:val="0"/>
          <w:i w:val="0"/>
          <w:color w:val="000000"/>
          <w:sz w:val="22"/>
          <w:u w:val="none"/>
        </w:rPr>
        <w:t>q (Anchor / Query): the original sentence, for example, “How do I apply for a passport?”</w:t>
      </w:r>
    </w:p>
    <w:p>
      <w:pPr>
        <w:pStyle w:val="ListBullet"/>
        <w:spacing w:before="0" w:after="80" w:line="276" w:lineRule="auto"/>
        <w:ind w:left="720" w:hanging="360"/>
      </w:pPr>
      <w:r>
        <w:rPr>
          <w:rFonts w:ascii="Arial" w:hAnsi="Arial" w:eastAsia="Microsoft YaHei"/>
          <w:b w:val="0"/>
          <w:i w:val="0"/>
          <w:color w:val="000000"/>
          <w:sz w:val="22"/>
          <w:u w:val="none"/>
        </w:rPr>
        <w:t>p+ (Positive): a semantically highly related sentence, for example, “The procedural guidelines for personal passport applications issued by the immigration administration.”</w:t>
      </w:r>
    </w:p>
    <w:p>
      <w:pPr>
        <w:pStyle w:val="ListBullet"/>
        <w:spacing w:before="0" w:after="80" w:line="276" w:lineRule="auto"/>
        <w:ind w:left="720" w:hanging="360"/>
      </w:pPr>
      <w:r>
        <w:rPr>
          <w:rFonts w:ascii="Arial" w:hAnsi="Arial" w:eastAsia="Microsoft YaHei"/>
          <w:b w:val="0"/>
          <w:i w:val="0"/>
          <w:color w:val="000000"/>
          <w:sz w:val="22"/>
          <w:u w:val="none"/>
        </w:rPr>
        <w:t>p- (Negative): an unrelated sentence, for example, “It rained heavily in Shanghai today.” In practice, hard negatives such as “How do I apply for a driver’s license?” are also important.</w:t>
      </w:r>
    </w:p>
    <w:p>
      <w:pPr>
        <w:pStyle w:val="Heading3"/>
        <w:spacing w:before="320" w:after="80" w:line="240" w:lineRule="auto"/>
      </w:pPr>
      <w:r>
        <w:rPr>
          <w:rFonts w:ascii="Arial" w:hAnsi="Arial" w:eastAsia="Microsoft YaHei"/>
          <w:b w:val="0"/>
          <w:i w:val="0"/>
          <w:color w:val="434343"/>
          <w:sz w:val="28"/>
          <w:u w:val="none"/>
        </w:rPr>
        <w:t>Core Loss Function: InfoNCE Loss</w:t>
      </w:r>
    </w:p>
    <w:p>
      <w:pPr>
        <w:spacing w:before="0" w:after="160" w:line="276" w:lineRule="auto"/>
      </w:pPr>
      <w:r>
        <w:rPr>
          <w:rFonts w:ascii="Arial" w:hAnsi="Arial" w:eastAsia="Microsoft YaHei"/>
          <w:b w:val="0"/>
          <w:i w:val="0"/>
          <w:color w:val="000000"/>
          <w:sz w:val="22"/>
          <w:u w:val="none"/>
        </w:rPr>
        <w:t>The only goal of training is to make the query vector q move as close as possible to the positive sample p+ in geometric space while pushing it away from negative samples p-.</w:t>
      </w:r>
    </w:p>
    <w:p>
      <w:pPr>
        <w:spacing w:before="0" w:after="160" w:line="276" w:lineRule="auto"/>
      </w:pPr>
      <w:r>
        <w:rPr>
          <w:rFonts w:ascii="Arial" w:hAnsi="Arial" w:eastAsia="Microsoft YaHei"/>
          <w:b w:val="0"/>
          <w:i w:val="0"/>
          <w:color w:val="000000"/>
          <w:sz w:val="22"/>
          <w:u w:val="none"/>
        </w:rPr>
        <w:t>We use the InfoNCE loss function to constrain how the network updates its weights:</w:t>
      </w:r>
    </w:p>
    <w:p>
      <w:pPr>
        <w:spacing w:before="0" w:after="160" w:line="276" w:lineRule="auto"/>
      </w:pPr>
      <w:r>
        <w:rPr>
          <w:rFonts w:ascii="Arial" w:hAnsi="Arial" w:eastAsia="Microsoft YaHei"/>
          <w:b w:val="0"/>
          <w:i w:val="0"/>
          <w:color w:val="000000"/>
          <w:sz w:val="22"/>
          <w:u w:val="none"/>
        </w:rPr>
        <w:t>L = -log(exp(sim(q, p+) / τ) / (exp(sim(q, p+) / τ) + Σ_{i=1}^N exp(sim(q, p_i^-) / τ)))</w:t>
      </w:r>
    </w:p>
    <w:p>
      <w:pPr>
        <w:pStyle w:val="ListBullet"/>
        <w:spacing w:before="0" w:after="80" w:line="276" w:lineRule="auto"/>
        <w:ind w:left="720" w:hanging="360"/>
      </w:pPr>
      <w:r>
        <w:rPr>
          <w:rFonts w:ascii="Arial" w:hAnsi="Arial" w:eastAsia="Microsoft YaHei"/>
          <w:b w:val="0"/>
          <w:i w:val="0"/>
          <w:color w:val="000000"/>
          <w:sz w:val="22"/>
          <w:u w:val="none"/>
        </w:rPr>
        <w:t>sim(u, v) usually denotes cosine similarity between two vectors.</w:t>
      </w:r>
    </w:p>
    <w:p>
      <w:pPr>
        <w:pStyle w:val="ListBullet"/>
        <w:spacing w:before="0" w:after="80" w:line="276" w:lineRule="auto"/>
        <w:ind w:left="720" w:hanging="360"/>
      </w:pPr>
      <w:r>
        <w:rPr>
          <w:rFonts w:ascii="Arial" w:hAnsi="Arial" w:eastAsia="Microsoft YaHei"/>
          <w:b w:val="0"/>
          <w:i w:val="0"/>
          <w:color w:val="000000"/>
          <w:sz w:val="22"/>
          <w:u w:val="none"/>
        </w:rPr>
        <w:t>τ is a temperature hyperparameter.</w:t>
      </w:r>
    </w:p>
    <w:p>
      <w:pPr>
        <w:pStyle w:val="ListBullet"/>
        <w:spacing w:before="0" w:after="80" w:line="276" w:lineRule="auto"/>
        <w:ind w:left="720" w:hanging="360"/>
      </w:pPr>
      <w:r>
        <w:rPr>
          <w:rFonts w:ascii="Arial" w:hAnsi="Arial" w:eastAsia="Microsoft YaHei"/>
          <w:b w:val="0"/>
          <w:i w:val="0"/>
          <w:color w:val="000000"/>
          <w:sz w:val="22"/>
          <w:u w:val="none"/>
        </w:rPr>
        <w:t>N is the number of negative samples.</w:t>
      </w:r>
    </w:p>
    <w:p>
      <w:pPr>
        <w:spacing w:before="80" w:after="160" w:line="276" w:lineRule="auto"/>
        <w:ind w:left="403" w:right="173"/>
      </w:pPr>
      <w:r>
        <w:rPr>
          <w:rFonts w:ascii="Arial" w:hAnsi="Arial" w:eastAsia="Microsoft YaHei"/>
          <w:b w:val="0"/>
          <w:i/>
          <w:color w:val="555555"/>
          <w:sz w:val="21"/>
          <w:u w:val="none"/>
        </w:rPr>
        <w:t>In plain language: the numerator measures how close the query is to the positive sample, while the denominator sums the closeness to both positive and negative samples. To minimize the loss L, we want the numerator to be as large as possible and the negative part of the denominator as small as possible. Backpropagation then nudges the model toward encoding semantically similar texts closer together.</w:t>
      </w:r>
    </w:p>
    <w:p>
      <w:pPr>
        <w:spacing w:before="0" w:after="160" w:line="276" w:lineRule="auto"/>
      </w:pPr>
      <w:r>
        <w:rPr>
          <w:rFonts w:ascii="Arial" w:hAnsi="Arial" w:eastAsia="Microsoft YaHei"/>
          <w:b w:val="0"/>
          <w:i w:val="0"/>
          <w:color w:val="000000"/>
          <w:sz w:val="22"/>
          <w:u w:val="none"/>
        </w:rPr>
        <w:t>Once the architecture and loss function are in place, the rest of the backpropagation procedure is broadly similar to ordinary Transformer training.</w:t>
      </w:r>
    </w:p>
    <w:p>
      <w:pPr>
        <w:spacing w:before="0" w:after="160" w:line="276" w:lineRule="auto"/>
      </w:pPr>
      <w:r>
        <w:rPr>
          <w:rFonts w:ascii="Arial" w:hAnsi="Arial" w:eastAsia="Microsoft YaHei"/>
          <w:b w:val="0"/>
          <w:i w:val="0"/>
          <w:color w:val="000000"/>
          <w:sz w:val="22"/>
          <w:u w:val="none"/>
        </w:rPr>
        <w:t>After the model is trained, if you project the high-dimensional vectors into 2D or 3D space, you often see a nebula-like distribution. Chunks about law cluster together, chunks about code form another dense cluster, and when you ask a question like “My program threw an exception,” the resulting query vector lands close to the chunks about that type of failure. A dot product or cosine similarity then tells the system which chunks are nearest, allowing it to retrieve the most relevant material.</w:t>
      </w:r>
    </w:p>
    <w:p>
      <w:pPr>
        <w:pStyle w:val="Heading1"/>
        <w:spacing w:before="400" w:after="120" w:line="240" w:lineRule="auto"/>
      </w:pPr>
      <w:r>
        <w:rPr>
          <w:rFonts w:ascii="Arial" w:hAnsi="Arial" w:eastAsia="Microsoft YaHei"/>
          <w:b w:val="0"/>
          <w:i w:val="0"/>
          <w:color w:val="000000"/>
          <w:sz w:val="40"/>
          <w:u w:val="none"/>
        </w:rPr>
        <w:t>Online Retrieval and Generation</w:t>
      </w:r>
    </w:p>
    <w:p>
      <w:pPr>
        <w:pStyle w:val="ListNumber"/>
        <w:spacing w:before="0" w:after="80" w:line="276" w:lineRule="auto"/>
        <w:ind w:left="720" w:hanging="360"/>
      </w:pPr>
      <w:r>
        <w:rPr>
          <w:rFonts w:ascii="Arial" w:hAnsi="Arial" w:eastAsia="Microsoft YaHei"/>
          <w:b w:val="0"/>
          <w:i w:val="0"/>
          <w:color w:val="000000"/>
          <w:sz w:val="22"/>
          <w:u w:val="none"/>
        </w:rPr>
        <w:t>When the user enters a prompt, the same Embedding model converts it into a single vector. By taking the dot product between that query vector and the stored vectors in the database, the system can retrieve the top K nearest text chunks.</w:t>
      </w:r>
    </w:p>
    <w:p>
      <w:pPr>
        <w:pStyle w:val="ListNumber"/>
        <w:spacing w:before="0" w:after="80" w:line="276" w:lineRule="auto"/>
        <w:ind w:left="720" w:hanging="360"/>
      </w:pPr>
      <w:r>
        <w:rPr>
          <w:rFonts w:ascii="Arial" w:hAnsi="Arial" w:eastAsia="Microsoft YaHei"/>
          <w:b w:val="0"/>
          <w:i w:val="0"/>
          <w:color w:val="000000"/>
          <w:sz w:val="22"/>
          <w:u w:val="none"/>
        </w:rPr>
        <w:t>In production, hybrid retrieval is often added so that critical details are less likely to be missed. A traditional keyword search is executed alongside vector retrieval, and the two result sets are merged.</w:t>
      </w:r>
    </w:p>
    <w:p>
      <w:pPr>
        <w:pStyle w:val="ListNumber"/>
        <w:spacing w:before="0" w:after="80" w:line="276" w:lineRule="auto"/>
        <w:ind w:left="720" w:hanging="360"/>
      </w:pPr>
      <w:r>
        <w:rPr>
          <w:rFonts w:ascii="Arial" w:hAnsi="Arial" w:eastAsia="Microsoft YaHei"/>
          <w:b w:val="0"/>
          <w:i w:val="0"/>
          <w:color w:val="000000"/>
          <w:sz w:val="22"/>
          <w:u w:val="none"/>
        </w:rPr>
        <w:t>Reranking: the merged result set can still be large, so the system uses a more precise reranker model to score those candidate chunks and keep only the Top N that are truly most relevant to the user’s question.</w:t>
      </w:r>
    </w:p>
    <w:p>
      <w:pPr>
        <w:pStyle w:val="ListNumber"/>
        <w:spacing w:before="0" w:after="80" w:line="276" w:lineRule="auto"/>
        <w:ind w:left="720" w:hanging="360"/>
      </w:pPr>
      <w:r>
        <w:rPr>
          <w:rFonts w:ascii="Arial" w:hAnsi="Arial" w:eastAsia="Microsoft YaHei"/>
          <w:b w:val="0"/>
          <w:i w:val="0"/>
          <w:color w:val="000000"/>
          <w:sz w:val="22"/>
          <w:u w:val="none"/>
        </w:rPr>
        <w:t>Prompt assembly: the retrieved chunks and the user’s question are combined into a Prompt with a fixed template. For example:</w:t>
      </w:r>
    </w:p>
    <w:p>
      <w:pPr>
        <w:spacing w:before="80" w:after="0" w:line="269" w:lineRule="auto"/>
        <w:ind w:left="648"/>
      </w:pPr>
      <w:r>
        <w:rPr>
          <w:rFonts w:ascii="Consolas" w:hAnsi="Consolas" w:eastAsia="Microsoft YaHei"/>
          <w:b w:val="0"/>
          <w:i w:val="0"/>
          <w:color w:val="000000"/>
          <w:sz w:val="21"/>
          <w:u w:val="none"/>
        </w:rPr>
        <w:t>[Role] You are a rigorous assistant for the company's internal knowledge base.</w:t>
      </w:r>
    </w:p>
    <w:p>
      <w:pPr>
        <w:spacing w:before="0" w:after="0" w:line="269" w:lineRule="auto"/>
        <w:ind w:left="648"/>
      </w:pPr>
      <w:r>
        <w:rPr>
          <w:rFonts w:ascii="Consolas" w:hAnsi="Consolas" w:eastAsia="Microsoft YaHei"/>
          <w:b w:val="0"/>
          <w:i w:val="0"/>
          <w:color w:val="000000"/>
          <w:sz w:val="21"/>
          <w:u w:val="none"/>
        </w:rPr>
      </w:r>
    </w:p>
    <w:p>
      <w:pPr>
        <w:spacing w:before="0" w:after="0" w:line="269" w:lineRule="auto"/>
        <w:ind w:left="648"/>
      </w:pPr>
      <w:r>
        <w:rPr>
          <w:rFonts w:ascii="Consolas" w:hAnsi="Consolas" w:eastAsia="Microsoft YaHei"/>
          <w:b w:val="0"/>
          <w:i w:val="0"/>
          <w:color w:val="000000"/>
          <w:sz w:val="21"/>
          <w:u w:val="none"/>
        </w:rPr>
        <w:t>[Reference Material] Answer the user's question only based on the verified background information below. If the material does not mention it, say "I don't know" directly. Never make things up.</w:t>
      </w:r>
    </w:p>
    <w:p>
      <w:pPr>
        <w:spacing w:before="0" w:after="0" w:line="269" w:lineRule="auto"/>
        <w:ind w:left="648"/>
      </w:pPr>
      <w:r>
        <w:rPr>
          <w:rFonts w:ascii="Consolas" w:hAnsi="Consolas" w:eastAsia="Microsoft YaHei"/>
          <w:b w:val="0"/>
          <w:i w:val="0"/>
          <w:color w:val="000000"/>
          <w:sz w:val="21"/>
          <w:u w:val="none"/>
        </w:rPr>
      </w:r>
    </w:p>
    <w:p>
      <w:pPr>
        <w:spacing w:before="0" w:after="0" w:line="269" w:lineRule="auto"/>
        <w:ind w:left="648"/>
      </w:pPr>
      <w:r>
        <w:rPr>
          <w:rFonts w:ascii="Consolas" w:hAnsi="Consolas" w:eastAsia="Microsoft YaHei"/>
          <w:b w:val="0"/>
          <w:i w:val="0"/>
          <w:color w:val="000000"/>
          <w:sz w:val="21"/>
          <w:u w:val="none"/>
        </w:rPr>
        <w:t>---</w:t>
      </w:r>
    </w:p>
    <w:p>
      <w:pPr>
        <w:spacing w:before="0" w:after="0" w:line="269" w:lineRule="auto"/>
        <w:ind w:left="648"/>
      </w:pPr>
      <w:r>
        <w:rPr>
          <w:rFonts w:ascii="Consolas" w:hAnsi="Consolas" w:eastAsia="Microsoft YaHei"/>
          <w:b w:val="0"/>
          <w:i w:val="0"/>
          <w:color w:val="000000"/>
          <w:sz w:val="21"/>
          <w:u w:val="none"/>
        </w:rPr>
      </w:r>
    </w:p>
    <w:p>
      <w:pPr>
        <w:spacing w:before="0" w:after="0" w:line="269" w:lineRule="auto"/>
        <w:ind w:left="648"/>
      </w:pPr>
      <w:r>
        <w:rPr>
          <w:rFonts w:ascii="Consolas" w:hAnsi="Consolas" w:eastAsia="Microsoft YaHei"/>
          <w:b w:val="0"/>
          <w:i w:val="0"/>
          <w:color w:val="000000"/>
          <w:sz w:val="21"/>
          <w:u w:val="none"/>
        </w:rPr>
        <w:t>Material 1: [Text content of Chunk 1]</w:t>
      </w:r>
    </w:p>
    <w:p>
      <w:pPr>
        <w:spacing w:before="0" w:after="0" w:line="269" w:lineRule="auto"/>
        <w:ind w:left="648"/>
      </w:pPr>
      <w:r>
        <w:rPr>
          <w:rFonts w:ascii="Consolas" w:hAnsi="Consolas" w:eastAsia="Microsoft YaHei"/>
          <w:b w:val="0"/>
          <w:i w:val="0"/>
          <w:color w:val="000000"/>
          <w:sz w:val="21"/>
          <w:u w:val="none"/>
        </w:rPr>
        <w:t>Material 2: [Text content of Chunk 2]</w:t>
      </w:r>
    </w:p>
    <w:p>
      <w:pPr>
        <w:spacing w:before="0" w:after="0" w:line="269" w:lineRule="auto"/>
        <w:ind w:left="648"/>
      </w:pPr>
      <w:r>
        <w:rPr>
          <w:rFonts w:ascii="Consolas" w:hAnsi="Consolas" w:eastAsia="Microsoft YaHei"/>
          <w:b w:val="0"/>
          <w:i w:val="0"/>
          <w:color w:val="000000"/>
          <w:sz w:val="21"/>
          <w:u w:val="none"/>
        </w:rPr>
      </w:r>
    </w:p>
    <w:p>
      <w:pPr>
        <w:spacing w:before="0" w:after="0" w:line="269" w:lineRule="auto"/>
        <w:ind w:left="648"/>
      </w:pPr>
      <w:r>
        <w:rPr>
          <w:rFonts w:ascii="Consolas" w:hAnsi="Consolas" w:eastAsia="Microsoft YaHei"/>
          <w:b w:val="0"/>
          <w:i w:val="0"/>
          <w:color w:val="000000"/>
          <w:sz w:val="21"/>
          <w:u w:val="none"/>
        </w:rPr>
        <w:t>---</w:t>
      </w:r>
    </w:p>
    <w:p>
      <w:pPr>
        <w:spacing w:before="0" w:after="0" w:line="269" w:lineRule="auto"/>
        <w:ind w:left="648"/>
      </w:pPr>
      <w:r>
        <w:rPr>
          <w:rFonts w:ascii="Consolas" w:hAnsi="Consolas" w:eastAsia="Microsoft YaHei"/>
          <w:b w:val="0"/>
          <w:i w:val="0"/>
          <w:color w:val="000000"/>
          <w:sz w:val="21"/>
          <w:u w:val="none"/>
        </w:rPr>
      </w:r>
    </w:p>
    <w:p>
      <w:pPr>
        <w:spacing w:before="0" w:after="0" w:line="269" w:lineRule="auto"/>
        <w:ind w:left="648"/>
      </w:pPr>
      <w:r>
        <w:rPr>
          <w:rFonts w:ascii="Consolas" w:hAnsi="Consolas" w:eastAsia="Microsoft YaHei"/>
          <w:b w:val="0"/>
          <w:i w:val="0"/>
          <w:color w:val="000000"/>
          <w:sz w:val="21"/>
          <w:u w:val="none"/>
        </w:rPr>
        <w:t>[User Question] What is our company's reimbursement standard for annual-leave expenses?</w:t>
      </w:r>
    </w:p>
    <w:p>
      <w:pPr>
        <w:spacing w:before="0" w:after="80" w:line="269" w:lineRule="auto"/>
        <w:ind w:left="648"/>
      </w:pPr>
      <w:r>
        <w:rPr>
          <w:rFonts w:ascii="Consolas" w:hAnsi="Consolas" w:eastAsia="Microsoft YaHei"/>
          <w:b w:val="0"/>
          <w:i w:val="0"/>
          <w:color w:val="000000"/>
          <w:sz w:val="21"/>
          <w:u w:val="none"/>
        </w:rPr>
        <w:t>[Generate the Answer]</w:t>
      </w:r>
    </w:p>
    <w:p>
      <w:pPr>
        <w:pStyle w:val="ListNumber"/>
        <w:spacing w:before="0" w:after="80" w:line="276" w:lineRule="auto"/>
        <w:ind w:left="720" w:hanging="360"/>
      </w:pPr>
      <w:r>
        <w:rPr>
          <w:rFonts w:ascii="Arial" w:hAnsi="Arial" w:eastAsia="Microsoft YaHei"/>
          <w:b w:val="0"/>
          <w:i w:val="0"/>
          <w:color w:val="000000"/>
          <w:sz w:val="22"/>
          <w:u w:val="none"/>
        </w:rPr>
        <w:t>This Prompt is then sent to the large model to obtain the final answer.</w:t>
      </w:r>
    </w:p>
    <w:p>
      <w:pPr>
        <w:pStyle w:val="ListNumber"/>
        <w:spacing w:before="0" w:after="80" w:line="276" w:lineRule="auto"/>
        <w:ind w:left="720" w:hanging="360"/>
      </w:pPr>
      <w:r>
        <w:rPr>
          <w:rFonts w:ascii="Arial" w:hAnsi="Arial" w:eastAsia="Microsoft YaHei"/>
          <w:b w:val="0"/>
          <w:i w:val="0"/>
          <w:color w:val="000000"/>
          <w:sz w:val="22"/>
          <w:u w:val="none"/>
        </w:rPr>
        <w:t>In multi-turn conversations, the system may also package historical chat records together with the current question and send them to an LLM-based intent rewriting model. That model summarizes and rewrites the conversation into a fresh retrieval query, triggers another round of RAG search, and then combines the retrieved results, conversation history, and current question into the final Prompt for the production LLM.</w:t>
      </w:r>
    </w:p>
    <w:p>
      <w:pPr>
        <w:pStyle w:val="Heading1"/>
        <w:spacing w:before="400" w:after="120" w:line="240" w:lineRule="auto"/>
      </w:pPr>
      <w:r>
        <w:rPr>
          <w:rFonts w:ascii="Arial" w:hAnsi="Arial" w:eastAsia="Microsoft YaHei"/>
          <w:b w:val="0"/>
          <w:i w:val="0"/>
          <w:color w:val="000000"/>
          <w:sz w:val="40"/>
          <w:u w:val="none"/>
        </w:rPr>
        <w:t>Other</w:t>
      </w:r>
    </w:p>
    <w:p>
      <w:pPr>
        <w:spacing w:before="0" w:after="160" w:line="276" w:lineRule="auto"/>
      </w:pPr>
      <w:r>
        <w:rPr>
          <w:rFonts w:ascii="Arial" w:hAnsi="Arial" w:eastAsia="Microsoft YaHei"/>
          <w:b w:val="0"/>
          <w:i w:val="0"/>
          <w:color w:val="000000"/>
          <w:sz w:val="22"/>
          <w:u w:val="none"/>
        </w:rPr>
        <w:t>Why do enterprises choose RAG instead of fine-tuning?</w:t>
      </w:r>
    </w:p>
    <w:p>
      <w:pPr>
        <w:spacing w:before="0" w:after="160" w:line="276" w:lineRule="auto"/>
      </w:pPr>
      <w:r>
        <w:rPr>
          <w:rFonts w:ascii="Arial" w:hAnsi="Arial" w:eastAsia="Microsoft YaHei"/>
          <w:b w:val="0"/>
          <w:i w:val="0"/>
          <w:color w:val="000000"/>
          <w:sz w:val="22"/>
          <w:u w:val="none"/>
        </w:rPr>
        <w:t>Enterprise knowledge changes frequently, so it is impractical to fine-tune the model every time the source material is updated. Fine-tuning is also difficult and usually requires a dedicated team to maintain over time. RAG is still fundamentally a retrieval system, but compared with plain keyword search, it is much better at matching user questions to the right enterprise knowledge. The final answer is still produced by prompt assembly rather than by native memory inside the model itself.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