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0CB2" w14:textId="77777777" w:rsidR="00C244D1" w:rsidRPr="00E6325F" w:rsidRDefault="00000000">
      <w:pPr>
        <w:jc w:val="center"/>
        <w:rPr>
          <w:lang w:val="ru-RU"/>
        </w:rPr>
      </w:pPr>
      <w:r w:rsidRPr="00E6325F">
        <w:rPr>
          <w:b/>
          <w:color w:val="0D2A5C"/>
          <w:sz w:val="32"/>
          <w:lang w:val="ru-RU"/>
        </w:rPr>
        <w:t>ШАБЛОН СТАТЬИ</w:t>
      </w:r>
    </w:p>
    <w:p w14:paraId="5BBCD40A" w14:textId="77777777" w:rsidR="00C244D1" w:rsidRPr="00E6325F" w:rsidRDefault="00000000">
      <w:pPr>
        <w:jc w:val="center"/>
        <w:rPr>
          <w:lang w:val="ru-RU"/>
        </w:rPr>
      </w:pPr>
      <w:r w:rsidRPr="00E6325F">
        <w:rPr>
          <w:color w:val="8C6420"/>
          <w:sz w:val="20"/>
          <w:lang w:val="ru-RU"/>
        </w:rPr>
        <w:t xml:space="preserve">АНО «Единый Мир» — публикация через </w:t>
      </w:r>
      <w:r>
        <w:rPr>
          <w:color w:val="8C6420"/>
          <w:sz w:val="20"/>
        </w:rPr>
        <w:t>Telegram</w:t>
      </w:r>
      <w:r w:rsidRPr="00E6325F">
        <w:rPr>
          <w:color w:val="8C6420"/>
          <w:sz w:val="20"/>
          <w:lang w:val="ru-RU"/>
        </w:rPr>
        <w:t>-бота</w:t>
      </w:r>
    </w:p>
    <w:p w14:paraId="761F797E" w14:textId="77777777" w:rsidR="00C244D1" w:rsidRPr="00E6325F" w:rsidRDefault="00C244D1">
      <w:pPr>
        <w:rPr>
          <w:lang w:val="ru-RU"/>
        </w:rPr>
      </w:pPr>
    </w:p>
    <w:p w14:paraId="3084CC43" w14:textId="77777777" w:rsidR="00C244D1" w:rsidRPr="00E6325F" w:rsidRDefault="00000000">
      <w:pPr>
        <w:rPr>
          <w:lang w:val="ru-RU"/>
        </w:rPr>
      </w:pPr>
      <w:r w:rsidRPr="00E6325F">
        <w:rPr>
          <w:b/>
          <w:sz w:val="24"/>
          <w:lang w:val="ru-RU"/>
        </w:rPr>
        <w:t>Как заполнять</w:t>
      </w:r>
    </w:p>
    <w:p w14:paraId="719CF8FC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>1. Заполните поля в таблице ниже. Левую колонку (названия полей) не меняйте — редактируйте только правую.</w:t>
      </w:r>
    </w:p>
    <w:p w14:paraId="2E08C2CD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>2. В поле «Рубрика», «Регион», «Формат» оставьте ОДНО значение из предложенных (остальные удалите).</w:t>
      </w:r>
    </w:p>
    <w:p w14:paraId="2125F1A4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>3. «Аннотация» появится на странице статьи сразу под заголовком. Рекомендуем 1–3 предложения.</w:t>
      </w:r>
    </w:p>
    <w:p w14:paraId="47B3D8C6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 xml:space="preserve">4. Текст статьи пишется ниже таблицы. Для заголовков разделов используйте стиль «Заголовок 2», для подразделов — «Заголовок 3» (меню Стили в </w:t>
      </w:r>
      <w:r>
        <w:rPr>
          <w:sz w:val="20"/>
        </w:rPr>
        <w:t>Word</w:t>
      </w:r>
      <w:r w:rsidRPr="00E6325F">
        <w:rPr>
          <w:sz w:val="20"/>
          <w:lang w:val="ru-RU"/>
        </w:rPr>
        <w:t>).</w:t>
      </w:r>
    </w:p>
    <w:p w14:paraId="5990069C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>5. Обычный текст можно выделять жирным и курсивом — форматирование сохранится на сайте.</w:t>
      </w:r>
    </w:p>
    <w:p w14:paraId="055A70FB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>6. Изображения вставляйте через Вставка → Рисунок прямо в то место текста, где они должны появиться. Первое по порядку изображение станет обложкой статьи.</w:t>
      </w:r>
    </w:p>
    <w:p w14:paraId="79AD0CA5" w14:textId="77777777" w:rsidR="00C244D1" w:rsidRPr="00E6325F" w:rsidRDefault="00000000">
      <w:pPr>
        <w:ind w:left="170"/>
        <w:rPr>
          <w:lang w:val="ru-RU"/>
        </w:rPr>
      </w:pPr>
      <w:r w:rsidRPr="00E6325F">
        <w:rPr>
          <w:sz w:val="20"/>
          <w:lang w:val="ru-RU"/>
        </w:rPr>
        <w:t xml:space="preserve">7. Готовый файл отправляйте в </w:t>
      </w:r>
      <w:r>
        <w:rPr>
          <w:sz w:val="20"/>
        </w:rPr>
        <w:t>Telegram</w:t>
      </w:r>
      <w:r w:rsidRPr="00E6325F">
        <w:rPr>
          <w:sz w:val="20"/>
          <w:lang w:val="ru-RU"/>
        </w:rPr>
        <w:t>-бот одним сообщением.</w:t>
      </w:r>
    </w:p>
    <w:p w14:paraId="7ECB105F" w14:textId="77777777" w:rsidR="00C244D1" w:rsidRPr="00E6325F" w:rsidRDefault="00C244D1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81"/>
        <w:gridCol w:w="6973"/>
      </w:tblGrid>
      <w:tr w:rsidR="00C244D1" w:rsidRPr="0072459D" w14:paraId="548C265C" w14:textId="77777777">
        <w:tc>
          <w:tcPr>
            <w:tcW w:w="2381" w:type="dxa"/>
          </w:tcPr>
          <w:p w14:paraId="4F400538" w14:textId="77777777" w:rsidR="00C244D1" w:rsidRDefault="00000000">
            <w:proofErr w:type="spellStart"/>
            <w:r>
              <w:rPr>
                <w:b/>
                <w:color w:val="0D2A5C"/>
              </w:rPr>
              <w:t>Заголовок</w:t>
            </w:r>
            <w:proofErr w:type="spellEnd"/>
          </w:p>
        </w:tc>
        <w:tc>
          <w:tcPr>
            <w:tcW w:w="6973" w:type="dxa"/>
          </w:tcPr>
          <w:p w14:paraId="66152728" w14:textId="21FA7B7D" w:rsidR="00C244D1" w:rsidRPr="00E6325F" w:rsidRDefault="00E6325F">
            <w:pPr>
              <w:rPr>
                <w:lang w:val="ru-RU"/>
              </w:rPr>
            </w:pPr>
            <w:r w:rsidRPr="00E6325F">
              <w:rPr>
                <w:i/>
                <w:color w:val="7A7A7A"/>
                <w:lang w:val="ru-RU"/>
              </w:rPr>
              <w:t>Посреднические инициативы по деэскалации в Персидском заливе: позиции международных акторов</w:t>
            </w:r>
          </w:p>
        </w:tc>
      </w:tr>
      <w:tr w:rsidR="00C244D1" w14:paraId="1F0ED326" w14:textId="77777777">
        <w:tc>
          <w:tcPr>
            <w:tcW w:w="2381" w:type="dxa"/>
          </w:tcPr>
          <w:p w14:paraId="1FA888CA" w14:textId="77777777" w:rsidR="00C244D1" w:rsidRDefault="00000000">
            <w:proofErr w:type="spellStart"/>
            <w:r>
              <w:rPr>
                <w:b/>
                <w:color w:val="0D2A5C"/>
              </w:rPr>
              <w:t>Автор</w:t>
            </w:r>
            <w:proofErr w:type="spellEnd"/>
          </w:p>
        </w:tc>
        <w:tc>
          <w:tcPr>
            <w:tcW w:w="6973" w:type="dxa"/>
          </w:tcPr>
          <w:p w14:paraId="1F948068" w14:textId="2E2C1943" w:rsidR="00C244D1" w:rsidRDefault="00E6325F">
            <w:proofErr w:type="spellStart"/>
            <w:r w:rsidRPr="00E6325F">
              <w:rPr>
                <w:i/>
                <w:color w:val="7A7A7A"/>
              </w:rPr>
              <w:t>Юсупова-Вдовина</w:t>
            </w:r>
            <w:proofErr w:type="spellEnd"/>
            <w:r w:rsidRPr="00E6325F">
              <w:rPr>
                <w:i/>
                <w:color w:val="7A7A7A"/>
              </w:rPr>
              <w:t xml:space="preserve"> </w:t>
            </w:r>
            <w:proofErr w:type="spellStart"/>
            <w:r w:rsidRPr="00E6325F">
              <w:rPr>
                <w:i/>
                <w:color w:val="7A7A7A"/>
              </w:rPr>
              <w:t>Анастасия</w:t>
            </w:r>
            <w:proofErr w:type="spellEnd"/>
          </w:p>
        </w:tc>
      </w:tr>
      <w:tr w:rsidR="00C244D1" w:rsidRPr="00E6325F" w14:paraId="2B7214A8" w14:textId="77777777">
        <w:tc>
          <w:tcPr>
            <w:tcW w:w="2381" w:type="dxa"/>
          </w:tcPr>
          <w:p w14:paraId="16C72995" w14:textId="77777777" w:rsidR="00C244D1" w:rsidRDefault="00000000">
            <w:r>
              <w:rPr>
                <w:b/>
                <w:color w:val="0D2A5C"/>
              </w:rPr>
              <w:t>Рубрика</w:t>
            </w:r>
          </w:p>
        </w:tc>
        <w:tc>
          <w:tcPr>
            <w:tcW w:w="6973" w:type="dxa"/>
          </w:tcPr>
          <w:p w14:paraId="7192E542" w14:textId="1E1CEBA9" w:rsidR="00C244D1" w:rsidRPr="00E6325F" w:rsidRDefault="00000000">
            <w:pPr>
              <w:rPr>
                <w:lang w:val="ru-RU"/>
              </w:rPr>
            </w:pPr>
            <w:r w:rsidRPr="00E6325F">
              <w:rPr>
                <w:i/>
                <w:color w:val="7A7A7A"/>
                <w:lang w:val="ru-RU"/>
              </w:rPr>
              <w:t xml:space="preserve">политика </w:t>
            </w:r>
          </w:p>
        </w:tc>
      </w:tr>
      <w:tr w:rsidR="00C244D1" w:rsidRPr="00E6325F" w14:paraId="55C76414" w14:textId="77777777">
        <w:tc>
          <w:tcPr>
            <w:tcW w:w="2381" w:type="dxa"/>
          </w:tcPr>
          <w:p w14:paraId="528F384A" w14:textId="77777777" w:rsidR="00C244D1" w:rsidRDefault="00000000">
            <w:proofErr w:type="spellStart"/>
            <w:r>
              <w:rPr>
                <w:b/>
                <w:color w:val="0D2A5C"/>
              </w:rPr>
              <w:t>Регион</w:t>
            </w:r>
            <w:proofErr w:type="spellEnd"/>
          </w:p>
        </w:tc>
        <w:tc>
          <w:tcPr>
            <w:tcW w:w="6973" w:type="dxa"/>
          </w:tcPr>
          <w:p w14:paraId="5B6F3EC1" w14:textId="198463BB" w:rsidR="00C244D1" w:rsidRPr="00E6325F" w:rsidRDefault="00000000">
            <w:pPr>
              <w:rPr>
                <w:lang w:val="ru-RU"/>
              </w:rPr>
            </w:pPr>
            <w:proofErr w:type="spellStart"/>
            <w:r w:rsidRPr="00E6325F">
              <w:rPr>
                <w:i/>
                <w:color w:val="7A7A7A"/>
                <w:lang w:val="ru-RU"/>
              </w:rPr>
              <w:t>ближний_восток</w:t>
            </w:r>
            <w:proofErr w:type="spellEnd"/>
          </w:p>
        </w:tc>
      </w:tr>
      <w:tr w:rsidR="00C244D1" w:rsidRPr="00E6325F" w14:paraId="668138A8" w14:textId="77777777">
        <w:tc>
          <w:tcPr>
            <w:tcW w:w="2381" w:type="dxa"/>
          </w:tcPr>
          <w:p w14:paraId="5D5737AB" w14:textId="77777777" w:rsidR="00C244D1" w:rsidRDefault="00000000">
            <w:proofErr w:type="spellStart"/>
            <w:r>
              <w:rPr>
                <w:b/>
                <w:color w:val="0D2A5C"/>
              </w:rPr>
              <w:t>Формат</w:t>
            </w:r>
            <w:proofErr w:type="spellEnd"/>
          </w:p>
        </w:tc>
        <w:tc>
          <w:tcPr>
            <w:tcW w:w="6973" w:type="dxa"/>
          </w:tcPr>
          <w:p w14:paraId="75FF843E" w14:textId="2915AA6B" w:rsidR="00C244D1" w:rsidRPr="00E6325F" w:rsidRDefault="00000000">
            <w:pPr>
              <w:rPr>
                <w:lang w:val="ru-RU"/>
              </w:rPr>
            </w:pPr>
            <w:r w:rsidRPr="00E6325F">
              <w:rPr>
                <w:i/>
                <w:color w:val="7A7A7A"/>
                <w:lang w:val="ru-RU"/>
              </w:rPr>
              <w:t>анализ</w:t>
            </w:r>
          </w:p>
        </w:tc>
      </w:tr>
      <w:tr w:rsidR="00C244D1" w14:paraId="0C6A3898" w14:textId="77777777">
        <w:tc>
          <w:tcPr>
            <w:tcW w:w="2381" w:type="dxa"/>
          </w:tcPr>
          <w:p w14:paraId="066761DF" w14:textId="77777777" w:rsidR="00C244D1" w:rsidRDefault="00000000">
            <w:proofErr w:type="spellStart"/>
            <w:r>
              <w:rPr>
                <w:b/>
                <w:color w:val="0D2A5C"/>
              </w:rPr>
              <w:t>Аннотация</w:t>
            </w:r>
            <w:proofErr w:type="spellEnd"/>
          </w:p>
        </w:tc>
        <w:tc>
          <w:tcPr>
            <w:tcW w:w="6973" w:type="dxa"/>
          </w:tcPr>
          <w:p w14:paraId="47225D83" w14:textId="01DF962F" w:rsidR="00C244D1" w:rsidRDefault="00E6325F">
            <w:r w:rsidRPr="0072459D">
              <w:rPr>
                <w:i/>
                <w:color w:val="7A7A7A"/>
                <w:lang w:val="ru-RU"/>
              </w:rPr>
              <w:t xml:space="preserve">Автор анализирует, как в условиях кризиса традиционных механизмов ООН и падения доверия к США страны региона переходят от военного сдерживания к формированию «стратегической автономии». Особое внимание уделяется новым инструментам деэскалации: геоэкономическому хеджированию, «дипломатии инвестиций» и использованию БРИКС и ШОС </w:t>
            </w:r>
            <w:proofErr w:type="spellStart"/>
            <w:r w:rsidRPr="0072459D">
              <w:rPr>
                <w:i/>
                <w:color w:val="7A7A7A"/>
                <w:lang w:val="ru-RU"/>
              </w:rPr>
              <w:t>для</w:t>
            </w:r>
            <w:proofErr w:type="spellEnd"/>
            <w:r w:rsidRPr="0072459D">
              <w:rPr>
                <w:i/>
                <w:color w:val="7A7A7A"/>
                <w:lang w:val="ru-RU"/>
              </w:rPr>
              <w:t xml:space="preserve"> </w:t>
            </w:r>
            <w:proofErr w:type="spellStart"/>
            <w:r w:rsidRPr="0072459D">
              <w:rPr>
                <w:i/>
                <w:color w:val="7A7A7A"/>
                <w:lang w:val="ru-RU"/>
              </w:rPr>
              <w:t>обхода</w:t>
            </w:r>
            <w:proofErr w:type="spellEnd"/>
            <w:r w:rsidRPr="0072459D">
              <w:rPr>
                <w:i/>
                <w:color w:val="7A7A7A"/>
                <w:lang w:val="ru-RU"/>
              </w:rPr>
              <w:t xml:space="preserve"> </w:t>
            </w:r>
            <w:proofErr w:type="spellStart"/>
            <w:r w:rsidRPr="0072459D">
              <w:rPr>
                <w:i/>
                <w:color w:val="7A7A7A"/>
                <w:lang w:val="ru-RU"/>
              </w:rPr>
              <w:t>санкций</w:t>
            </w:r>
            <w:proofErr w:type="spellEnd"/>
            <w:r w:rsidRPr="0072459D">
              <w:rPr>
                <w:i/>
                <w:color w:val="7A7A7A"/>
                <w:lang w:val="ru-RU"/>
              </w:rPr>
              <w:t xml:space="preserve"> и </w:t>
            </w:r>
            <w:proofErr w:type="spellStart"/>
            <w:r w:rsidRPr="0072459D">
              <w:rPr>
                <w:i/>
                <w:color w:val="7A7A7A"/>
                <w:lang w:val="ru-RU"/>
              </w:rPr>
              <w:t>кулуарного</w:t>
            </w:r>
            <w:proofErr w:type="spellEnd"/>
            <w:r w:rsidRPr="0072459D">
              <w:rPr>
                <w:i/>
                <w:color w:val="7A7A7A"/>
                <w:lang w:val="ru-RU"/>
              </w:rPr>
              <w:t xml:space="preserve"> </w:t>
            </w:r>
            <w:proofErr w:type="spellStart"/>
            <w:r w:rsidRPr="0072459D">
              <w:rPr>
                <w:i/>
                <w:color w:val="7A7A7A"/>
                <w:lang w:val="ru-RU"/>
              </w:rPr>
              <w:t>диалога</w:t>
            </w:r>
            <w:proofErr w:type="spellEnd"/>
            <w:r w:rsidRPr="0072459D">
              <w:rPr>
                <w:i/>
                <w:color w:val="7A7A7A"/>
                <w:lang w:val="ru-RU"/>
              </w:rPr>
              <w:t>.</w:t>
            </w:r>
          </w:p>
        </w:tc>
      </w:tr>
    </w:tbl>
    <w:p w14:paraId="6209D611" w14:textId="77777777" w:rsidR="00C244D1" w:rsidRDefault="00C244D1"/>
    <w:p w14:paraId="2E662285" w14:textId="77777777" w:rsidR="00C244D1" w:rsidRDefault="00000000">
      <w:pPr>
        <w:jc w:val="center"/>
      </w:pPr>
      <w:r>
        <w:rPr>
          <w:b/>
          <w:color w:val="8C6420"/>
          <w:sz w:val="20"/>
        </w:rPr>
        <w:t>— — — — —   ТЕКСТ СТАТЬИ НИЖЕ   — — — — —</w:t>
      </w:r>
    </w:p>
    <w:p w14:paraId="1F4701B7" w14:textId="77777777" w:rsidR="00C244D1" w:rsidRDefault="00C244D1"/>
    <w:p w14:paraId="07464FF3" w14:textId="55469440" w:rsidR="00E6325F" w:rsidRDefault="00E6325F" w:rsidP="00E6325F">
      <w:pPr>
        <w:pStyle w:val="2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FB242E1" wp14:editId="3E28B35F">
            <wp:extent cx="6332220" cy="3561715"/>
            <wp:effectExtent l="0" t="0" r="0" b="635"/>
            <wp:docPr id="28418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7871" name="Рисунок 2841878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F2F5" w14:textId="5758DDEA" w:rsidR="00E6325F" w:rsidRPr="0072459D" w:rsidRDefault="00E6325F" w:rsidP="00E6325F">
      <w:pPr>
        <w:pStyle w:val="21"/>
        <w:rPr>
          <w:lang w:val="ru-RU"/>
        </w:rPr>
      </w:pPr>
      <w:r w:rsidRPr="0072459D">
        <w:rPr>
          <w:lang w:val="ru-RU"/>
        </w:rPr>
        <w:t>Введение</w:t>
      </w:r>
    </w:p>
    <w:p w14:paraId="5ECC6E54" w14:textId="77777777" w:rsidR="00E6325F" w:rsidRPr="00E6325F" w:rsidRDefault="00E6325F" w:rsidP="00E6325F">
      <w:pPr>
        <w:rPr>
          <w:lang w:val="ru-RU"/>
        </w:rPr>
      </w:pPr>
      <w:r w:rsidRPr="00E6325F">
        <w:rPr>
          <w:lang w:val="ru-RU"/>
        </w:rPr>
        <w:t xml:space="preserve">Персидский залив является одним из стратегически важных регионов мира благодаря своим ресурсам нефти и газа. Однако к началу 2020-х годов структура региональной безопасности начала претерпевать фундаментальные изменения. На смену эпохе прокси-войн и жесткой </w:t>
      </w:r>
      <w:proofErr w:type="spellStart"/>
      <w:r w:rsidRPr="00E6325F">
        <w:rPr>
          <w:lang w:val="ru-RU"/>
        </w:rPr>
        <w:t>внутриарабской</w:t>
      </w:r>
      <w:proofErr w:type="spellEnd"/>
      <w:r w:rsidRPr="00E6325F">
        <w:rPr>
          <w:lang w:val="ru-RU"/>
        </w:rPr>
        <w:t xml:space="preserve"> конфронтации пришла прагматичная доктрина «нулевых проблем с соседями».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Ключевые арабские монархии, прежде всего Саудовская Аравия и ОАЭ, взяли курс на формирование «стратегической автономии». Осознав, что безусловные гарантии безопасности со стороны США уходят в прошлое, Эр-Рияд и Абу-Даби пересмотрели свои внешнеполитические приоритеты. Это привело к восстановлению дипломатических отношений между Саудовской Аравией и Ираном в 2023 году при посредничестве Китая, а также к обсуждению нормализации отношений между Саудовской Аравией и Израилем.</w:t>
      </w:r>
      <w:r w:rsidRPr="00E6325F">
        <w:rPr>
          <w:lang w:val="ru-RU"/>
        </w:rPr>
        <w:br/>
      </w:r>
      <w:r w:rsidRPr="00E6325F">
        <w:rPr>
          <w:lang w:val="ru-RU"/>
        </w:rPr>
        <w:br/>
        <w:t>События 7 октября 2023 года и война в Газе разрушили региональную стабильность, спровоцировав масштабную эскалацию — от кризиса в Красном море до прямых столкновений Ирана и Израиля в 2024 году. На фоне высочайших рисков и недееспособности традиционных институтов ООН особую роль приобретают новые посреднические инициативы по деэскалации.</w:t>
      </w:r>
    </w:p>
    <w:p w14:paraId="63B177BC" w14:textId="77777777" w:rsidR="00E6325F" w:rsidRPr="00E6325F" w:rsidRDefault="00E6325F" w:rsidP="00E6325F">
      <w:pPr>
        <w:pStyle w:val="21"/>
        <w:rPr>
          <w:lang w:val="ru-RU"/>
        </w:rPr>
      </w:pPr>
      <w:r w:rsidRPr="00E6325F">
        <w:rPr>
          <w:lang w:val="ru-RU"/>
        </w:rPr>
        <w:t>Предпосылки нестабильности региона</w:t>
      </w:r>
    </w:p>
    <w:p w14:paraId="2A4B64BA" w14:textId="77777777" w:rsidR="00E6325F" w:rsidRPr="00E6325F" w:rsidRDefault="00E6325F" w:rsidP="00E6325F">
      <w:pPr>
        <w:rPr>
          <w:lang w:val="ru-RU"/>
        </w:rPr>
      </w:pPr>
      <w:r w:rsidRPr="00E6325F">
        <w:rPr>
          <w:lang w:val="ru-RU"/>
        </w:rPr>
        <w:t>Нападение ХАМАС на Израиль 7 октября 2023 года привело к масштабной эскалации на Ближнем Востоке. Израиль начал военную операцию в секторе Газа, что сопровождалось ликвидацией лидеров организации. Позднее конфликт распространился на Ливан, Красное море и другие регионы.</w:t>
      </w:r>
      <w:r w:rsidRPr="00E6325F">
        <w:rPr>
          <w:lang w:val="ru-RU"/>
        </w:rPr>
        <w:br/>
      </w:r>
      <w:r w:rsidRPr="00E6325F">
        <w:rPr>
          <w:lang w:val="ru-RU"/>
        </w:rPr>
        <w:br/>
        <w:t xml:space="preserve">Конфликт привел к тяжелым последствиям для Ливана, кризису в Красном море и рискам для мировых поставок нефти. Хуситы начали атаки на коммерческие суда, что нарушило мировую </w:t>
      </w:r>
      <w:r w:rsidRPr="00E6325F">
        <w:rPr>
          <w:lang w:val="ru-RU"/>
        </w:rPr>
        <w:lastRenderedPageBreak/>
        <w:t>логистику и создало угрозу для Суэцкого канала и Ормузского пролива.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Военный конфликт между Ираном и Израилем в 2026 году усилил нестабильность. Несмотря на временное перемирие, сохраняется риск нового витка тотальной войны, который может втянуть монархии Персидского залива и привести к разрушению их инфраструктуры.</w:t>
      </w:r>
    </w:p>
    <w:p w14:paraId="29640FF5" w14:textId="77777777" w:rsidR="00E6325F" w:rsidRPr="00E6325F" w:rsidRDefault="00E6325F" w:rsidP="00E6325F">
      <w:pPr>
        <w:pStyle w:val="21"/>
        <w:rPr>
          <w:lang w:val="ru-RU"/>
        </w:rPr>
      </w:pPr>
      <w:r w:rsidRPr="00E6325F">
        <w:rPr>
          <w:lang w:val="ru-RU"/>
        </w:rPr>
        <w:t>Ключевые региональные посредники по деэскалации</w:t>
      </w:r>
    </w:p>
    <w:p w14:paraId="7EC5026A" w14:textId="77777777" w:rsidR="00E6325F" w:rsidRPr="00E6325F" w:rsidRDefault="00E6325F" w:rsidP="00E6325F">
      <w:pPr>
        <w:rPr>
          <w:lang w:val="ru-RU"/>
        </w:rPr>
      </w:pPr>
      <w:r w:rsidRPr="00E6325F">
        <w:rPr>
          <w:lang w:val="ru-RU"/>
        </w:rPr>
        <w:t>Ключевую роль в предотвращении глобального столкновения играют Оман, Катар и Турция. Эти страны стремятся не допустить разрушения архитектуры безопасности Ближнего Востока.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Особое место занимают Саудовская Аравия и ОАЭ. Несмотря на стремление сдерживать Иран, они не заинтересованы в большой региональной войне, поскольку их энергетическая инфраструктура и экономика станут первыми мишенями.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Пакистан также выступает посредником между США и Ираном, что связано как с его дипломатическими связями, так и с зависимостью от поставок нефти через Ормузский пролив.</w:t>
      </w:r>
    </w:p>
    <w:p w14:paraId="66FAA999" w14:textId="77777777" w:rsidR="00E6325F" w:rsidRPr="0072459D" w:rsidRDefault="00E6325F" w:rsidP="00E6325F">
      <w:pPr>
        <w:pStyle w:val="21"/>
        <w:rPr>
          <w:lang w:val="ru-RU"/>
        </w:rPr>
      </w:pPr>
      <w:r w:rsidRPr="0072459D">
        <w:rPr>
          <w:lang w:val="ru-RU"/>
        </w:rPr>
        <w:t>Позиции международных акторов</w:t>
      </w:r>
    </w:p>
    <w:p w14:paraId="39492D9F" w14:textId="77777777" w:rsidR="00E6325F" w:rsidRPr="0072459D" w:rsidRDefault="00E6325F" w:rsidP="00E6325F">
      <w:pPr>
        <w:rPr>
          <w:lang w:val="ru-RU"/>
        </w:rPr>
      </w:pPr>
      <w:r w:rsidRPr="00E6325F">
        <w:rPr>
          <w:lang w:val="ru-RU"/>
        </w:rPr>
        <w:t>США рассматривали конфликт как инструмент давления на Иран и Китай, тогда как Израиль стремился к смене режима и уничтожению иранской ядерной программы. Однако ни одна из этих целей не была достигнута полностью.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Китай усиливает свое влияние через дипломатическое посредничество и экономические инструменты. Россия предлагает концепцию коллективной безопасности в регионе и сохраняет контакты как с Ираном, так и с монархиями Залива.</w:t>
      </w:r>
      <w:r w:rsidRPr="00E6325F">
        <w:rPr>
          <w:lang w:val="ru-RU"/>
        </w:rPr>
        <w:br/>
      </w:r>
      <w:r w:rsidRPr="00E6325F">
        <w:rPr>
          <w:lang w:val="ru-RU"/>
        </w:rPr>
        <w:br/>
        <w:t xml:space="preserve">Европейский союз делает ставку на экономическую стабилизацию и оборонительные меры, в том числе через миссию </w:t>
      </w:r>
      <w:r>
        <w:t>Aspides</w:t>
      </w:r>
      <w:r w:rsidRPr="0072459D">
        <w:rPr>
          <w:lang w:val="ru-RU"/>
        </w:rPr>
        <w:t xml:space="preserve"> в Красном море.</w:t>
      </w:r>
    </w:p>
    <w:p w14:paraId="4767FAD6" w14:textId="77777777" w:rsidR="00E6325F" w:rsidRPr="00E6325F" w:rsidRDefault="00E6325F" w:rsidP="00E6325F">
      <w:pPr>
        <w:pStyle w:val="21"/>
        <w:rPr>
          <w:lang w:val="ru-RU"/>
        </w:rPr>
      </w:pPr>
      <w:r w:rsidRPr="00E6325F">
        <w:rPr>
          <w:lang w:val="ru-RU"/>
        </w:rPr>
        <w:t>Новые механизмы и площадки для деэскалации</w:t>
      </w:r>
    </w:p>
    <w:p w14:paraId="7B0EC7EB" w14:textId="77777777" w:rsidR="00E6325F" w:rsidRPr="00E6325F" w:rsidRDefault="00E6325F" w:rsidP="00E6325F">
      <w:pPr>
        <w:rPr>
          <w:lang w:val="ru-RU"/>
        </w:rPr>
      </w:pPr>
      <w:r w:rsidRPr="00E6325F">
        <w:rPr>
          <w:lang w:val="ru-RU"/>
        </w:rPr>
        <w:t>На фоне кризиса традиционной системы безопасности страны Персидского залива переходят к геоэкономическому хеджированию рисков.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Первым направлением становится институциональная интеграция через БРИКС и ШОС. Эти площадки позволяют обсуждать вопросы безопасности вне западного давления и санкций.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Вторым направлением выступает «дипломатия инвестиций». Саудовская Аравия и ОАЭ используют инвестиции в инфраструктуру Ирана как инструмент предотвращения конфликта. Одновременно развивается дедолларизация и механизмы торговли в национальных валютах.</w:t>
      </w:r>
    </w:p>
    <w:p w14:paraId="01187CF5" w14:textId="77777777" w:rsidR="00E6325F" w:rsidRPr="00E6325F" w:rsidRDefault="00E6325F" w:rsidP="00E6325F">
      <w:pPr>
        <w:pStyle w:val="21"/>
        <w:rPr>
          <w:lang w:val="ru-RU"/>
        </w:rPr>
      </w:pPr>
      <w:r w:rsidRPr="00E6325F">
        <w:rPr>
          <w:lang w:val="ru-RU"/>
        </w:rPr>
        <w:t>Заключение</w:t>
      </w:r>
    </w:p>
    <w:p w14:paraId="237E7CC7" w14:textId="77777777" w:rsidR="00E6325F" w:rsidRPr="00E6325F" w:rsidRDefault="00E6325F" w:rsidP="00E6325F">
      <w:pPr>
        <w:rPr>
          <w:lang w:val="ru-RU"/>
        </w:rPr>
      </w:pPr>
      <w:r w:rsidRPr="00E6325F">
        <w:rPr>
          <w:lang w:val="ru-RU"/>
        </w:rPr>
        <w:t>Архитектура безопасности в Персидском заливе переживает глубокую трансформацию. Падение доверия к США и традиционным институтам ООН заставляет страны региона искать новые модели взаимодействия.</w:t>
      </w:r>
      <w:r w:rsidRPr="00E6325F">
        <w:rPr>
          <w:lang w:val="ru-RU"/>
        </w:rPr>
        <w:br/>
      </w:r>
      <w:r w:rsidRPr="00E6325F">
        <w:rPr>
          <w:lang w:val="ru-RU"/>
        </w:rPr>
        <w:br/>
        <w:t>Монархии Залива, а также Оман, Катар, Турция и Пакистан формируют коалицию деэскалации, основанную не на военном превосходстве, а на взаимозависимости и прагматизме.</w:t>
      </w:r>
      <w:r w:rsidRPr="00E6325F">
        <w:rPr>
          <w:lang w:val="ru-RU"/>
        </w:rPr>
        <w:br/>
      </w:r>
      <w:r w:rsidRPr="00E6325F">
        <w:rPr>
          <w:lang w:val="ru-RU"/>
        </w:rPr>
        <w:lastRenderedPageBreak/>
        <w:br/>
        <w:t>Успех мирных инициатив в ближайшие годы будет зависеть от того, насколько быстро новая многополярная система сможет вытеснить старые механизмы военной конфронтации.</w:t>
      </w:r>
    </w:p>
    <w:p w14:paraId="4685937E" w14:textId="77777777" w:rsidR="00E6325F" w:rsidRPr="00E6325F" w:rsidRDefault="00E6325F" w:rsidP="00E6325F">
      <w:pPr>
        <w:pStyle w:val="21"/>
        <w:rPr>
          <w:lang w:val="ru-RU"/>
        </w:rPr>
      </w:pPr>
      <w:r w:rsidRPr="00E6325F">
        <w:rPr>
          <w:lang w:val="ru-RU"/>
        </w:rPr>
        <w:t>Теги</w:t>
      </w:r>
    </w:p>
    <w:p w14:paraId="0D782CC5" w14:textId="77777777" w:rsidR="00E6325F" w:rsidRPr="00E6325F" w:rsidRDefault="00E6325F" w:rsidP="00E6325F">
      <w:pPr>
        <w:rPr>
          <w:lang w:val="ru-RU"/>
        </w:rPr>
      </w:pPr>
      <w:r w:rsidRPr="00E6325F">
        <w:rPr>
          <w:lang w:val="ru-RU"/>
        </w:rPr>
        <w:t>Персидский залив, деэскалация конфликтов, региональная безопасность, стратегическая автономия, Ближний Восток, война в Газе, Саудовская Аравия, ОАЭ, Иран, Израиль, Оман, Катар, Турция, Пакистан, США, Китай, Россия, ЕС, ООН, БРИКС, ШОС, дипломатия инвестиций</w:t>
      </w:r>
    </w:p>
    <w:p w14:paraId="47976F20" w14:textId="31475992" w:rsidR="00C244D1" w:rsidRPr="00E6325F" w:rsidRDefault="00000000">
      <w:pPr>
        <w:rPr>
          <w:lang w:val="ru-RU"/>
        </w:rPr>
      </w:pPr>
      <w:r w:rsidRPr="00E6325F">
        <w:rPr>
          <w:lang w:val="ru-RU"/>
        </w:rPr>
        <w:t>я длинных материалов.</w:t>
      </w:r>
    </w:p>
    <w:sectPr w:rsidR="00C244D1" w:rsidRPr="00E6325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786966">
    <w:abstractNumId w:val="8"/>
  </w:num>
  <w:num w:numId="2" w16cid:durableId="1869053721">
    <w:abstractNumId w:val="6"/>
  </w:num>
  <w:num w:numId="3" w16cid:durableId="531502291">
    <w:abstractNumId w:val="5"/>
  </w:num>
  <w:num w:numId="4" w16cid:durableId="1316298251">
    <w:abstractNumId w:val="4"/>
  </w:num>
  <w:num w:numId="5" w16cid:durableId="822816034">
    <w:abstractNumId w:val="7"/>
  </w:num>
  <w:num w:numId="6" w16cid:durableId="1818255999">
    <w:abstractNumId w:val="3"/>
  </w:num>
  <w:num w:numId="7" w16cid:durableId="468979588">
    <w:abstractNumId w:val="2"/>
  </w:num>
  <w:num w:numId="8" w16cid:durableId="7945561">
    <w:abstractNumId w:val="1"/>
  </w:num>
  <w:num w:numId="9" w16cid:durableId="164685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59D"/>
    <w:rsid w:val="00AA1D8D"/>
    <w:rsid w:val="00B34D2C"/>
    <w:rsid w:val="00B47730"/>
    <w:rsid w:val="00C244D1"/>
    <w:rsid w:val="00CB0664"/>
    <w:rsid w:val="00E63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7904D"/>
  <w14:defaultImageDpi w14:val="300"/>
  <w15:docId w15:val="{610E48F4-EEF2-463C-8316-78C6EFBE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Stanislav</cp:lastModifiedBy>
  <cp:revision>3</cp:revision>
  <dcterms:created xsi:type="dcterms:W3CDTF">2013-12-23T23:15:00Z</dcterms:created>
  <dcterms:modified xsi:type="dcterms:W3CDTF">2026-04-19T00:01:00Z</dcterms:modified>
  <cp:category/>
</cp:coreProperties>
</file>