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PingFang SC"/>
          <w:b/>
          <w:color w:val="2563EB"/>
          <w:sz w:val="48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>
      <w:r>
        <w:br w:type="page"/>
      </w:r>
    </w:p>
    <w:p>
      <w:pPr>
        <w:spacing w:before="120" w:after="200"/>
      </w:pPr>
      <w:r>
        <w:rPr>
          <w:rFonts w:ascii="Arial" w:hAnsi="Arial" w:eastAsia="黑体"/>
          <w:b/>
          <w:color w:val="2563EB"/>
          <w:sz w:val="30"/>
        </w:rPr>
        <w:t>目录</w:t>
      </w:r>
    </w:p>
    <w:p>
      <w:fldSimple w:instr=" TOC \o &quot;1-3&quot; \h \z \u ">
        <w:r>
          <w:t>目录将在打开文档时自动生成</w:t>
        </w:r>
      </w:fldSimple>
    </w:p>
    <w:p>
      <w:r>
        <w:br w:type="page"/>
      </w:r>
    </w:p>
    <w:p>
      <w:pPr>
        <w:pStyle w:val="Heading1"/>
        <w:pBdr>
          <w:bottom w:val="single" w:sz="6" w:color="2563EB" w:space="4"/>
        </w:pBdr>
      </w:pPr>
      <w:r>
        <w:rPr>
          <w:rFonts w:ascii="Arial" w:hAnsi="Arial" w:eastAsia="PingFang SC"/>
          <w:b/>
          <w:color w:val="2563EB"/>
          <w:sz w:val="30"/>
        </w:rPr>
        <w:t>公司概况</w:t>
      </w:r>
    </w:p>
    <w:p>
      <w:pPr>
        <w:pStyle w:val="Heading1"/>
        <w:pBdr>
          <w:bottom w:val="single" w:sz="6" w:color="2563EB" w:space="4"/>
        </w:pBdr>
      </w:pPr>
      <w:r>
        <w:rPr>
          <w:rFonts w:ascii="Arial" w:hAnsi="Arial" w:eastAsia="PingFang SC"/>
          <w:b/>
          <w:color w:val="2563EB"/>
          <w:sz w:val="30"/>
        </w:rPr>
        <w:t>主要财务数据</w:t>
      </w:r>
    </w:p>
    <w:p>
      <w:pPr>
        <w:pStyle w:val="Heading1"/>
        <w:pBdr>
          <w:bottom w:val="single" w:sz="6" w:color="2563EB" w:space="4"/>
        </w:pBdr>
      </w:pPr>
      <w:r>
        <w:rPr>
          <w:rFonts w:ascii="Arial" w:hAnsi="Arial" w:eastAsia="PingFang SC"/>
          <w:b/>
          <w:color w:val="2563EB"/>
          <w:sz w:val="30"/>
        </w:rPr>
        <w:t>经营层讨论与分析</w:t>
      </w:r>
    </w:p>
    <w:p>
      <w:pPr>
        <w:pStyle w:val="Heading1"/>
        <w:pBdr>
          <w:bottom w:val="single" w:sz="6" w:color="2563EB" w:space="4"/>
        </w:pBdr>
      </w:pPr>
      <w:r>
        <w:rPr>
          <w:rFonts w:ascii="Arial" w:hAnsi="Arial" w:eastAsia="PingFang SC"/>
          <w:b/>
          <w:color w:val="2563EB"/>
          <w:sz w:val="30"/>
        </w:rPr>
        <w:t>风险因素</w:t>
      </w:r>
    </w:p>
    <w:p>
      <w:pPr>
        <w:pStyle w:val="Heading1"/>
        <w:pBdr>
          <w:bottom w:val="single" w:sz="6" w:color="2563EB" w:space="4"/>
        </w:pBdr>
      </w:pPr>
      <w:r>
        <w:rPr>
          <w:rFonts w:ascii="Arial" w:hAnsi="Arial" w:eastAsia="PingFang SC"/>
          <w:b/>
          <w:color w:val="2563EB"/>
          <w:sz w:val="30"/>
        </w:rPr>
        <w:t>附录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4" w:color="1E2320"/>
          <w:left w:val="single" w:sz="4" w:color="1E2320"/>
          <w:bottom w:val="single" w:sz="4" w:color="1E2320"/>
          <w:right w:val="single" w:sz="4" w:color="1E2320"/>
          <w:insideH w:val="single" w:sz="4" w:color="1E2320"/>
          <w:insideV w:val="single" w:sz="4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DEDFD8" w:space="4"/>
      </w:pBdr>
      <w:jc w:val="right"/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Arial" w:hAnsi="Arial" w:eastAsia="PingFang SC"/>
      <w:b w:val="0"/>
      <w:color w:val="1E23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color="2563EB" w:space="4"/>
      </w:pBdr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