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pacing w:before="240"/>
        <w:jc w:val="center"/>
        <w:shd w:val="clear" w:fill="2563EB"/>
      </w:pPr>
      <w:r>
        <w:rPr>
          <w:rFonts w:ascii="Arial" w:hAnsi="Arial" w:eastAsia="PingFang SC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投资评级：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待定（首次覆盖时更新）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目标价：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现价：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报告日期：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核心观点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事件回顾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风险提示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免责声明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PingFang SC"/>
      <w:b w:val="0"/>
      <w:color w:val="1E23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