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pacing w:before="240"/>
        <w:jc w:val="center"/>
        <w:shd w:val="clear" w:fill="C62828"/>
      </w:pPr>
      <w:r>
        <w:rPr>
          <w:rFonts w:ascii="Arial" w:hAnsi="Arial" w:eastAsia="微软雅黑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核心观点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事件回顾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盈利预测与估值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