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微软雅黑"/>
          <w:b/>
          <w:color w:val="8A9089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8A9089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公司概况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主要财务数据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经营层讨论与分析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风险因素</w:t>
      </w:r>
    </w:p>
    <w:p>
      <w:pPr>
        <w:pStyle w:val="Heading1"/>
        <w:pBdr>
          <w:bottom w:val="single" w:sz="6" w:color="8A9089" w:space="4"/>
        </w:pBdr>
      </w:pPr>
      <w:r>
        <w:rPr>
          <w:rFonts w:ascii="Arial" w:hAnsi="Arial" w:eastAsia="微软雅黑"/>
          <w:b/>
          <w:color w:val="8A9089"/>
          <w:sz w:val="30"/>
        </w:rPr>
        <w:t>附录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color="8A9089" w:space="4"/>
      </w:pBdr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