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78909C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阿里巴巴普惠体"/>
          <w:b/>
          <w:color w:val="FFFFFF"/>
          <w:sz w:val="44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78909C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FF6B35"/>
          <w:sz w:val="30"/>
        </w:rPr>
        <w:t>目录</w:t>
      </w:r>
    </w:p>
    <w:p>
      <w:fldSimple w:instr=" TOC \o &quot;1-3&quot; \h \z \u ">
        <w:r>
          <w:t>目录将在打开文档时自动生成</w:t>
        </w:r>
      </w:fldSimple>
    </w:p>
    <w:p>
      <w:r>
        <w:br w:type="page"/>
      </w:r>
    </w:p>
    <w:p>
      <w:pPr>
        <w:pStyle w:val="Heading1"/>
        <w:shd w:val="clear" w:fill="FF6B35"/>
        <w:spacing w:before="200" w:after="160"/>
      </w:pPr>
      <w:r>
        <w:rPr>
          <w:rFonts w:ascii="Arial" w:hAnsi="Arial" w:eastAsia="阿里巴巴普惠体"/>
          <w:b/>
          <w:color w:val="FFFFFF"/>
          <w:sz w:val="26"/>
        </w:rPr>
        <w:t>核心观点</w:t>
      </w:r>
    </w:p>
    <w:p>
      <w:pPr>
        <w:pStyle w:val="Heading1"/>
        <w:shd w:val="clear" w:fill="FF6B35"/>
        <w:spacing w:before="200" w:after="160"/>
      </w:pPr>
      <w:r>
        <w:rPr>
          <w:rFonts w:ascii="Arial" w:hAnsi="Arial" w:eastAsia="阿里巴巴普惠体"/>
          <w:b/>
          <w:color w:val="FFFFFF"/>
          <w:sz w:val="26"/>
        </w:rPr>
        <w:t>事件回顾</w:t>
      </w:r>
    </w:p>
    <w:p>
      <w:pPr>
        <w:pStyle w:val="Heading1"/>
        <w:shd w:val="clear" w:fill="FF6B35"/>
        <w:spacing w:before="200" w:after="160"/>
      </w:pPr>
      <w:r>
        <w:rPr>
          <w:rFonts w:ascii="Arial" w:hAnsi="Arial" w:eastAsia="阿里巴巴普惠体"/>
          <w:b/>
          <w:color w:val="FFFFFF"/>
          <w:sz w:val="26"/>
        </w:rPr>
        <w:t>影响分析</w:t>
      </w:r>
    </w:p>
    <w:p>
      <w:pPr>
        <w:pStyle w:val="Heading1"/>
        <w:shd w:val="clear" w:fill="FF6B35"/>
        <w:spacing w:before="200" w:after="160"/>
      </w:pPr>
      <w:r>
        <w:rPr>
          <w:rFonts w:ascii="Arial" w:hAnsi="Arial" w:eastAsia="阿里巴巴普惠体"/>
          <w:b/>
          <w:color w:val="FFFFFF"/>
          <w:sz w:val="26"/>
        </w:rPr>
        <w:t>数据附录</w:t>
      </w:r>
    </w:p>
    <w:p>
      <w:pPr>
        <w:pStyle w:val="Heading1"/>
        <w:shd w:val="clear" w:fill="FF6B35"/>
        <w:spacing w:before="200" w:after="160"/>
      </w:pPr>
      <w:r>
        <w:rPr>
          <w:rFonts w:ascii="Arial" w:hAnsi="Arial" w:eastAsia="阿里巴巴普惠体"/>
          <w:b/>
          <w:color w:val="FFFFFF"/>
          <w:sz w:val="26"/>
        </w:rPr>
        <w:t>风险提示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E2320"/>
          <w:bottom w:val="single" w:sz="8" w:color="1E2320"/>
          <w:left w:val="none" w:sz="0" w:color="1E2320"/>
          <w:right w:val="none" w:sz="0" w:color="1E2320"/>
          <w:insideH w:val="single" w:sz="4" w:color="1E2320"/>
          <w:insideV w:val="none" w:sz="0" w:color="1E232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DEDFD8" w:space="4"/>
      </w:pBdr>
    </w:pPr>
    <w:r>
      <w:rPr>
        <w:rFonts w:eastAsia="宋体"/>
        <w:color w:val="78909C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Arial" w:hAnsi="Arial" w:eastAsia="阿里巴巴普惠体"/>
      <w:b w:val="0"/>
      <w:color w:val="262626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shd w:val="clear" w:fill="FF6B35"/>
    </w:pPr>
    <w:rPr>
      <w:rFonts w:asciiTheme="majorHAnsi" w:eastAsiaTheme="majorEastAsia" w:hAnsiTheme="majorHAnsi" w:cstheme="majorBidi" w:ascii="Arial" w:hAnsi="Arial" w:eastAsia="阿里巴巴普惠体"/>
      <w:b/>
      <w:bCs/>
      <w:color w:val="FFFFF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阿里巴巴普惠体"/>
      <w:b/>
      <w:bCs/>
      <w:color w:val="FF6B3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阿里巴巴普惠体"/>
      <w:b/>
      <w:bCs/>
      <w:color w:val="37474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