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Arial" w:hAnsi="Arial" w:eastAsia="宋体"/>
          <w:b w:val="0"/>
          <w:color w:val="6A706B"/>
          <w:sz w:val="22"/>
        </w:rPr>
        <w:t>{{organization}}</w:t>
      </w:r>
    </w:p>
    <w:p>
      <w:pPr>
        <w:pStyle w:val="Heading1"/>
        <w:spacing w:before="0"/>
        <w:jc w:val="center"/>
      </w:pPr>
      <w:r>
        <w:rPr>
          <w:rFonts w:ascii="Arial" w:hAnsi="Arial" w:eastAsia="黑体"/>
          <w:b/>
          <w:color w:val="006838"/>
          <w:sz w:val="48"/>
        </w:rPr>
        <w:t>{{title}}</w:t>
      </w:r>
    </w:p>
    <w:p>
      <w:pPr>
        <w:spacing w:before="320"/>
        <w:jc w:val="center"/>
      </w:pPr>
      <w:r>
        <w:rPr>
          <w:rFonts w:ascii="Arial" w:hAnsi="Arial" w:eastAsia="宋体"/>
          <w:b w:val="0"/>
          <w:color w:val="6A706B"/>
          <w:sz w:val="22"/>
        </w:rPr>
        <w:t>{{period}} · {{report_date}}</w:t>
      </w:r>
    </w:p>
    <w:p>
      <w:r>
        <w:br w:type="page"/>
      </w:r>
    </w:p>
    <w:p>
      <w:pPr>
        <w:spacing w:before="120" w:after="200"/>
      </w:pPr>
      <w:r>
        <w:rPr>
          <w:rFonts w:ascii="Arial" w:hAnsi="Arial" w:eastAsia="黑体"/>
          <w:b/>
          <w:color w:val="006838"/>
          <w:sz w:val="30"/>
        </w:rPr>
        <w:t>目录</w:t>
      </w:r>
    </w:p>
    <w:p>
      <w:fldSimple w:instr=" TOC \o &quot;1-3&quot; \h \z \u ">
        <w:r>
          <w:t>目录将在打开文档时自动生成</w:t>
        </w:r>
      </w:fldSimple>
    </w:p>
    <w:p>
      <w:r>
        <w:br w:type="page"/>
      </w:r>
    </w:p>
    <w:p>
      <w:pPr>
        <w:pStyle w:val="Heading1"/>
        <w:pBdr>
          <w:bottom w:val="single" w:sz="6" w:color="006838" w:space="4"/>
        </w:pBdr>
      </w:pPr>
      <w:r>
        <w:rPr>
          <w:rFonts w:ascii="Arial" w:hAnsi="Arial" w:eastAsia="黑体"/>
          <w:b/>
          <w:color w:val="006838"/>
          <w:sz w:val="30"/>
        </w:rPr>
        <w:t>摘要</w:t>
      </w:r>
    </w:p>
    <w:p>
      <w:pPr>
        <w:pStyle w:val="Heading1"/>
        <w:pBdr>
          <w:bottom w:val="single" w:sz="6" w:color="006838" w:space="4"/>
        </w:pBdr>
      </w:pPr>
      <w:r>
        <w:rPr>
          <w:rFonts w:ascii="Arial" w:hAnsi="Arial" w:eastAsia="黑体"/>
          <w:b/>
          <w:color w:val="006838"/>
          <w:sz w:val="30"/>
        </w:rPr>
        <w:t>背景</w:t>
      </w:r>
    </w:p>
    <w:p>
      <w:pPr>
        <w:pStyle w:val="Heading1"/>
        <w:pBdr>
          <w:bottom w:val="single" w:sz="6" w:color="006838" w:space="4"/>
        </w:pBdr>
      </w:pPr>
      <w:r>
        <w:rPr>
          <w:rFonts w:ascii="Arial" w:hAnsi="Arial" w:eastAsia="黑体"/>
          <w:b/>
          <w:color w:val="006838"/>
          <w:sz w:val="30"/>
        </w:rPr>
        <w:t>分析</w:t>
      </w:r>
    </w:p>
    <w:p>
      <w:pPr>
        <w:pStyle w:val="Heading1"/>
        <w:pBdr>
          <w:bottom w:val="single" w:sz="6" w:color="006838" w:space="4"/>
        </w:pBdr>
      </w:pPr>
      <w:r>
        <w:rPr>
          <w:rFonts w:ascii="Arial" w:hAnsi="Arial" w:eastAsia="黑体"/>
          <w:b/>
          <w:color w:val="006838"/>
          <w:sz w:val="30"/>
        </w:rPr>
        <w:t>结论</w:t>
      </w:r>
    </w:p>
    <w:p>
      <w:pPr>
        <w:pStyle w:val="Heading1"/>
        <w:pBdr>
          <w:bottom w:val="single" w:sz="6" w:color="006838" w:space="4"/>
        </w:pBdr>
      </w:pPr>
      <w:r>
        <w:rPr>
          <w:rFonts w:ascii="Arial" w:hAnsi="Arial" w:eastAsia="黑体"/>
          <w:b/>
          <w:color w:val="006838"/>
          <w:sz w:val="30"/>
        </w:rPr>
        <w:t>风险提示</w:t>
      </w:r>
    </w:p>
    <w:p>
      <w:r>
        <w:t>这是一段正文样式示例：BriefLoop 会把该段的字体、字号、行距与格式作为报告正文样式。Numbers like 1,234.56 keep Arial while 汉字落到中文字体。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12" w:color="1E2320"/>
          <w:bottom w:val="single" w:sz="12" w:color="1E2320"/>
          <w:left w:val="none" w:sz="0" w:color="1E2320"/>
          <w:right w:val="none" w:sz="0" w:color="1E2320"/>
          <w:insideH w:val="none" w:sz="0" w:color="1E2320"/>
          <w:insideV w:val="none" w:sz="0" w:color="1E2320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bottom w:val="single" w:sz="8" w:color="1E2320"/>
            </w:tcBorders>
          </w:tcPr>
          <w:p>
            <w:r>
              <w:rPr>
                <w:b/>
              </w:rPr>
              <w:t>示例1-1</w:t>
            </w:r>
          </w:p>
        </w:tc>
        <w:tc>
          <w:tcPr>
            <w:tcW w:type="dxa" w:w="2880"/>
            <w:tcBorders>
              <w:bottom w:val="single" w:sz="8" w:color="1E2320"/>
            </w:tcBorders>
          </w:tcPr>
          <w:p>
            <w:r>
              <w:rPr>
                <w:b/>
              </w:rPr>
              <w:t>示例1-2</w:t>
            </w:r>
          </w:p>
        </w:tc>
        <w:tc>
          <w:tcPr>
            <w:tcW w:type="dxa" w:w="2880"/>
            <w:tcBorders>
              <w:bottom w:val="single" w:sz="8" w:color="1E2320"/>
            </w:tcBorders>
          </w:tcPr>
          <w:p>
            <w:r>
              <w:rPr>
                <w:b/>
              </w:rPr>
              <w:t>示例1-3</w:t>
            </w:r>
          </w:p>
        </w:tc>
      </w:tr>
      <w:tr>
        <w:tc>
          <w:tcPr>
            <w:tcW w:type="dxa" w:w="2880"/>
          </w:tcPr>
          <w:p>
            <w:r>
              <w:t>示例2-1</w:t>
            </w:r>
          </w:p>
        </w:tc>
        <w:tc>
          <w:tcPr>
            <w:tcW w:type="dxa" w:w="2880"/>
          </w:tcPr>
          <w:p>
            <w:r>
              <w:t>示例2-2</w:t>
            </w:r>
          </w:p>
        </w:tc>
        <w:tc>
          <w:tcPr>
            <w:tcW w:type="dxa" w:w="2880"/>
          </w:tcPr>
          <w:p>
            <w:r>
              <w:t>示例2-3</w:t>
            </w:r>
          </w:p>
        </w:tc>
      </w:tr>
      <w:tr>
        <w:tc>
          <w:tcPr>
            <w:tcW w:type="dxa" w:w="2880"/>
          </w:tcPr>
          <w:p>
            <w:r>
              <w:t>示例3-1</w:t>
            </w:r>
          </w:p>
        </w:tc>
        <w:tc>
          <w:tcPr>
            <w:tcW w:type="dxa" w:w="2880"/>
          </w:tcPr>
          <w:p>
            <w:r>
              <w:t>示例3-2</w:t>
            </w:r>
          </w:p>
        </w:tc>
        <w:tc>
          <w:tcPr>
            <w:tcW w:type="dxa" w:w="2880"/>
          </w:tcPr>
          <w:p>
            <w:r>
              <w:t>示例3-3</w:t>
            </w:r>
          </w:p>
        </w:tc>
      </w:tr>
    </w:tbl>
    <w:sectPr w:rsidR="00FC693F" w:rsidRPr="0006063C" w:rsidSect="00034616">
      <w:footerReference w:type="first" r:id="rId9"/>
      <w:headerReference w:type="first" r:id="rId10"/>
      <w:footerReference w:type="default" r:id="rId11"/>
      <w:headerReference w:type="default" r:id="rId12"/>
      <w:pgSz w:w="12240" w:h="15840"/>
      <w:pgMar w:top="1440" w:right="1800" w:bottom="1440" w:left="180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 PAGE ">
      <w:r>
        <w:t>1</w:t>
      </w:r>
    </w:fldSimple>
    <w:r>
      <w:rPr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color="DEDFD8" w:space="4"/>
      </w:pBdr>
    </w:pPr>
    <w:r>
      <w:rPr>
        <w:rFonts w:eastAsia="宋体"/>
        <w:color w:val="6A706B"/>
        <w:sz w:val="16"/>
      </w:rPr>
      <w:t>{{title}}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6" w:lineRule="auto"/>
    </w:pPr>
    <w:rPr>
      <w:rFonts w:ascii="Arial" w:hAnsi="Arial" w:eastAsia="宋体"/>
      <w:b w:val="0"/>
      <w:color w:val="1E23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pBdr>
        <w:bottom w:val="single" w:sz="6" w:color="006838" w:space="4"/>
      </w:pBdr>
    </w:pPr>
    <w:rPr>
      <w:rFonts w:asciiTheme="majorHAnsi" w:eastAsiaTheme="majorEastAsia" w:hAnsiTheme="majorHAnsi" w:cstheme="majorBidi" w:ascii="Arial" w:hAnsi="Arial" w:eastAsia="黑体"/>
      <w:b/>
      <w:bCs/>
      <w:color w:val="006838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1E232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37474F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Relationship Id="rId11" Type="http://schemas.openxmlformats.org/officeDocument/2006/relationships/footer" Target="footer2.xml"/><Relationship Id="rId12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